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F27275" w14:textId="4F3A720A" w:rsidR="001A0497" w:rsidRPr="0002495D" w:rsidRDefault="00EB1438" w:rsidP="002D3910">
      <w:pPr>
        <w:jc w:val="center"/>
        <w:rPr>
          <w:rFonts w:ascii="Aptos" w:hAnsi="Aptos"/>
          <w:b/>
          <w:sz w:val="40"/>
          <w:lang w:val="en-GB"/>
        </w:rPr>
      </w:pPr>
      <w:r w:rsidRPr="0002495D">
        <w:rPr>
          <w:rFonts w:ascii="Aptos" w:hAnsi="Aptos"/>
          <w:noProof/>
        </w:rPr>
        <w:drawing>
          <wp:anchor distT="0" distB="0" distL="114300" distR="114300" simplePos="0" relativeHeight="251662336" behindDoc="1" locked="0" layoutInCell="1" allowOverlap="1" wp14:anchorId="3030E699" wp14:editId="16553E8E">
            <wp:simplePos x="0" y="0"/>
            <wp:positionH relativeFrom="margin">
              <wp:posOffset>1851660</wp:posOffset>
            </wp:positionH>
            <wp:positionV relativeFrom="margin">
              <wp:posOffset>7621</wp:posOffset>
            </wp:positionV>
            <wp:extent cx="2171963" cy="230886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182164" cy="2319704"/>
                    </a:xfrm>
                    <a:prstGeom prst="rect">
                      <a:avLst/>
                    </a:prstGeom>
                    <a:noFill/>
                  </pic:spPr>
                </pic:pic>
              </a:graphicData>
            </a:graphic>
            <wp14:sizeRelH relativeFrom="page">
              <wp14:pctWidth>0</wp14:pctWidth>
            </wp14:sizeRelH>
            <wp14:sizeRelV relativeFrom="page">
              <wp14:pctHeight>0</wp14:pctHeight>
            </wp14:sizeRelV>
          </wp:anchor>
        </w:drawing>
      </w:r>
    </w:p>
    <w:p w14:paraId="3D01B6FD" w14:textId="16DD9F71" w:rsidR="001A0497" w:rsidRPr="0002495D" w:rsidRDefault="001A0497" w:rsidP="002D3910">
      <w:pPr>
        <w:jc w:val="center"/>
        <w:rPr>
          <w:rFonts w:ascii="Aptos" w:hAnsi="Aptos"/>
          <w:b/>
          <w:sz w:val="40"/>
          <w:lang w:val="en-GB"/>
        </w:rPr>
      </w:pPr>
    </w:p>
    <w:p w14:paraId="79819193" w14:textId="77777777" w:rsidR="001A0497" w:rsidRPr="0002495D" w:rsidRDefault="001A0497" w:rsidP="00EB1438">
      <w:pPr>
        <w:rPr>
          <w:rFonts w:ascii="Aptos" w:hAnsi="Aptos"/>
          <w:b/>
          <w:sz w:val="40"/>
          <w:lang w:val="en-GB"/>
        </w:rPr>
      </w:pPr>
    </w:p>
    <w:p w14:paraId="658788E2" w14:textId="77777777" w:rsidR="001A0497" w:rsidRPr="0002495D" w:rsidRDefault="001A0497" w:rsidP="002D3910">
      <w:pPr>
        <w:jc w:val="center"/>
        <w:rPr>
          <w:rFonts w:ascii="Aptos" w:hAnsi="Aptos"/>
          <w:b/>
          <w:sz w:val="40"/>
          <w:lang w:val="en-GB"/>
        </w:rPr>
      </w:pPr>
    </w:p>
    <w:p w14:paraId="2DB9FD76" w14:textId="77777777" w:rsidR="001A0497" w:rsidRPr="0002495D" w:rsidRDefault="001A0497" w:rsidP="002D3910">
      <w:pPr>
        <w:jc w:val="center"/>
        <w:rPr>
          <w:rFonts w:ascii="Aptos" w:hAnsi="Aptos"/>
          <w:b/>
          <w:sz w:val="40"/>
          <w:lang w:val="en-GB"/>
        </w:rPr>
      </w:pPr>
    </w:p>
    <w:p w14:paraId="726BF608" w14:textId="77777777" w:rsidR="001A0497" w:rsidRPr="0002495D" w:rsidRDefault="001A0497" w:rsidP="002D3910">
      <w:pPr>
        <w:jc w:val="center"/>
        <w:rPr>
          <w:rFonts w:ascii="Aptos" w:hAnsi="Aptos"/>
          <w:b/>
          <w:sz w:val="40"/>
          <w:lang w:val="en-GB"/>
        </w:rPr>
      </w:pPr>
    </w:p>
    <w:p w14:paraId="7062C637" w14:textId="77777777" w:rsidR="00281111" w:rsidRPr="0002495D" w:rsidRDefault="00281111" w:rsidP="00281111">
      <w:pPr>
        <w:pStyle w:val="BodyText"/>
        <w:rPr>
          <w:rFonts w:ascii="Aptos" w:hAnsi="Aptos"/>
        </w:rPr>
      </w:pPr>
    </w:p>
    <w:p w14:paraId="185B2F08" w14:textId="77777777" w:rsidR="00281111" w:rsidRPr="0002495D" w:rsidRDefault="00281111" w:rsidP="00281111">
      <w:pPr>
        <w:pStyle w:val="BodyText"/>
        <w:spacing w:before="7"/>
        <w:rPr>
          <w:rFonts w:ascii="Aptos" w:hAnsi="Aptos"/>
          <w:sz w:val="11"/>
        </w:rPr>
      </w:pPr>
      <w:r w:rsidRPr="0002495D">
        <w:rPr>
          <w:rFonts w:ascii="Aptos" w:hAnsi="Aptos"/>
          <w:noProof/>
          <w:lang w:val="en-GB" w:eastAsia="en-GB"/>
        </w:rPr>
        <mc:AlternateContent>
          <mc:Choice Requires="wps">
            <w:drawing>
              <wp:anchor distT="0" distB="0" distL="114300" distR="114300" simplePos="0" relativeHeight="251659264" behindDoc="1" locked="0" layoutInCell="1" allowOverlap="1" wp14:anchorId="24E88217" wp14:editId="06D37DF5">
                <wp:simplePos x="0" y="0"/>
                <wp:positionH relativeFrom="page">
                  <wp:posOffset>701040</wp:posOffset>
                </wp:positionH>
                <wp:positionV relativeFrom="paragraph">
                  <wp:posOffset>116205</wp:posOffset>
                </wp:positionV>
                <wp:extent cx="6159500" cy="0"/>
                <wp:effectExtent l="0" t="0" r="0" b="0"/>
                <wp:wrapTopAndBottom/>
                <wp:docPr id="7"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59500" cy="0"/>
                        </a:xfrm>
                        <a:prstGeom prst="line">
                          <a:avLst/>
                        </a:prstGeom>
                        <a:noFill/>
                        <a:ln w="12192">
                          <a:solidFill>
                            <a:srgbClr val="2CA1BE"/>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5E0C3E" id="Line 5"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5.2pt,9.15pt" to="540.2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" strokecolor="#2ca1be" strokeweight=".96pt">
                <w10:wrap type="topAndBottom" anchorx="page"/>
              </v:line>
            </w:pict>
          </mc:Fallback>
        </mc:AlternateContent>
      </w:r>
    </w:p>
    <w:p w14:paraId="7D2813E7" w14:textId="77777777" w:rsidR="00281111" w:rsidRPr="0002495D" w:rsidRDefault="00281111" w:rsidP="00281111">
      <w:pPr>
        <w:pStyle w:val="BodyText"/>
        <w:spacing w:before="6"/>
        <w:rPr>
          <w:rFonts w:ascii="Aptos" w:hAnsi="Aptos"/>
          <w:sz w:val="6"/>
        </w:rPr>
      </w:pPr>
    </w:p>
    <w:p w14:paraId="0590887F" w14:textId="2033AA92" w:rsidR="00281111" w:rsidRPr="0081707E" w:rsidRDefault="00CA1CC5" w:rsidP="00281111">
      <w:pPr>
        <w:spacing w:before="99"/>
        <w:ind w:left="-180" w:right="-210" w:firstLine="180"/>
        <w:jc w:val="center"/>
        <w:rPr>
          <w:rFonts w:ascii="Aptos" w:hAnsi="Aptos"/>
          <w:noProof/>
          <w:color w:val="002060"/>
          <w:sz w:val="44"/>
          <w:szCs w:val="44"/>
          <w:lang w:val="en-GB" w:eastAsia="en-GB"/>
        </w:rPr>
      </w:pPr>
      <w:r w:rsidRPr="0081707E">
        <w:rPr>
          <w:rFonts w:ascii="Aptos" w:hAnsi="Aptos"/>
          <w:noProof/>
          <w:color w:val="002060"/>
          <w:sz w:val="44"/>
          <w:szCs w:val="44"/>
          <w:lang w:val="en-GB" w:eastAsia="en-GB"/>
        </w:rPr>
        <w:t>Assessment and Feedback Policy</w:t>
      </w:r>
      <w:r w:rsidR="00281111" w:rsidRPr="0081707E">
        <w:rPr>
          <w:rFonts w:ascii="Aptos" w:hAnsi="Aptos"/>
          <w:noProof/>
          <w:color w:val="002060"/>
          <w:sz w:val="44"/>
          <w:szCs w:val="44"/>
          <w:lang w:val="en-GB" w:eastAsia="en-GB"/>
        </w:rPr>
        <mc:AlternateContent>
          <mc:Choice Requires="wps">
            <w:drawing>
              <wp:anchor distT="0" distB="0" distL="114300" distR="114300" simplePos="0" relativeHeight="251660288" behindDoc="1" locked="0" layoutInCell="1" allowOverlap="1" wp14:anchorId="7A93CC0F" wp14:editId="13085429">
                <wp:simplePos x="0" y="0"/>
                <wp:positionH relativeFrom="margin">
                  <wp:align>right</wp:align>
                </wp:positionH>
                <wp:positionV relativeFrom="paragraph">
                  <wp:posOffset>610870</wp:posOffset>
                </wp:positionV>
                <wp:extent cx="6159500" cy="0"/>
                <wp:effectExtent l="0" t="0" r="31750" b="19050"/>
                <wp:wrapTopAndBottom/>
                <wp:docPr id="6"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59500" cy="0"/>
                        </a:xfrm>
                        <a:prstGeom prst="line">
                          <a:avLst/>
                        </a:prstGeom>
                        <a:noFill/>
                        <a:ln w="12192">
                          <a:solidFill>
                            <a:srgbClr val="2CA1BE"/>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967685" id="Line 4" o:spid="_x0000_s1026" style="position:absolute;z-index:-25165619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from="433.8pt,48.1pt" to="918.8pt,4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" strokecolor="#2ca1be" strokeweight=".96pt">
                <w10:wrap type="topAndBottom" anchorx="margin"/>
              </v:line>
            </w:pict>
          </mc:Fallback>
        </mc:AlternateContent>
      </w:r>
      <w:r w:rsidR="00281111" w:rsidRPr="0081707E">
        <w:rPr>
          <w:rFonts w:ascii="Aptos" w:hAnsi="Aptos"/>
          <w:noProof/>
          <w:color w:val="002060"/>
          <w:sz w:val="44"/>
          <w:szCs w:val="44"/>
          <w:lang w:val="en-GB" w:eastAsia="en-GB"/>
        </w:rPr>
        <w:t xml:space="preserve"> </w:t>
      </w:r>
      <w:r w:rsidR="0081707E" w:rsidRPr="0081707E">
        <w:rPr>
          <w:rFonts w:ascii="Aptos" w:hAnsi="Aptos"/>
          <w:noProof/>
          <w:color w:val="002060"/>
          <w:sz w:val="44"/>
          <w:szCs w:val="44"/>
          <w:lang w:val="en-GB" w:eastAsia="en-GB"/>
        </w:rPr>
        <w:t>Senior School</w:t>
      </w:r>
    </w:p>
    <w:p w14:paraId="14D1221E" w14:textId="77777777" w:rsidR="00281111" w:rsidRPr="0002495D" w:rsidRDefault="00281111" w:rsidP="00281111">
      <w:pPr>
        <w:pStyle w:val="BodyText"/>
        <w:rPr>
          <w:rFonts w:ascii="Aptos" w:hAnsi="Aptos"/>
        </w:rPr>
      </w:pPr>
    </w:p>
    <w:p w14:paraId="37CE7962" w14:textId="77777777" w:rsidR="00CA1CC5" w:rsidRPr="0002495D" w:rsidRDefault="00CA1CC5" w:rsidP="00281111">
      <w:pPr>
        <w:pStyle w:val="BodyText"/>
        <w:rPr>
          <w:rFonts w:ascii="Aptos" w:hAnsi="Aptos"/>
        </w:rPr>
      </w:pPr>
    </w:p>
    <w:p w14:paraId="110C108E" w14:textId="77777777" w:rsidR="00CA1CC5" w:rsidRPr="0002495D" w:rsidRDefault="00CA1CC5" w:rsidP="00281111">
      <w:pPr>
        <w:pStyle w:val="BodyText"/>
        <w:rPr>
          <w:rFonts w:ascii="Aptos" w:hAnsi="Aptos"/>
        </w:rPr>
      </w:pPr>
    </w:p>
    <w:p w14:paraId="3CD22C66" w14:textId="77777777" w:rsidR="00CA1CC5" w:rsidRPr="0002495D" w:rsidRDefault="00CA1CC5" w:rsidP="00281111">
      <w:pPr>
        <w:pStyle w:val="BodyText"/>
        <w:rPr>
          <w:rFonts w:ascii="Aptos" w:hAnsi="Aptos"/>
        </w:rPr>
      </w:pPr>
    </w:p>
    <w:p w14:paraId="1AF72655" w14:textId="77777777" w:rsidR="00281111" w:rsidRPr="0002495D" w:rsidRDefault="00281111" w:rsidP="00281111">
      <w:pPr>
        <w:pStyle w:val="BodyText"/>
        <w:rPr>
          <w:rFonts w:ascii="Aptos" w:hAnsi="Apto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9"/>
      </w:tblGrid>
      <w:tr w:rsidR="00281111" w:rsidRPr="0002495D" w14:paraId="39F5B97F" w14:textId="77777777" w:rsidTr="00434E6E">
        <w:trPr>
          <w:trHeight w:val="564"/>
          <w:jc w:val="center"/>
        </w:trPr>
        <w:tc>
          <w:tcPr>
            <w:tcW w:w="8529" w:type="dxa"/>
            <w:vAlign w:val="center"/>
          </w:tcPr>
          <w:p w14:paraId="1686519D" w14:textId="02B29E41" w:rsidR="00281111" w:rsidRPr="0002495D" w:rsidRDefault="00281111" w:rsidP="00434E6E">
            <w:pPr>
              <w:jc w:val="center"/>
              <w:rPr>
                <w:rFonts w:ascii="Aptos" w:hAnsi="Aptos"/>
                <w:sz w:val="26"/>
                <w:szCs w:val="26"/>
              </w:rPr>
            </w:pPr>
            <w:r w:rsidRPr="0002495D">
              <w:rPr>
                <w:rFonts w:ascii="Aptos" w:hAnsi="Aptos"/>
                <w:sz w:val="26"/>
                <w:szCs w:val="26"/>
              </w:rPr>
              <w:t xml:space="preserve">Name of </w:t>
            </w:r>
            <w:r w:rsidR="00CA1CC5" w:rsidRPr="0002495D">
              <w:rPr>
                <w:rFonts w:ascii="Aptos" w:hAnsi="Aptos"/>
                <w:sz w:val="26"/>
                <w:szCs w:val="26"/>
              </w:rPr>
              <w:t xml:space="preserve">the </w:t>
            </w:r>
            <w:r w:rsidRPr="0002495D">
              <w:rPr>
                <w:rFonts w:ascii="Aptos" w:hAnsi="Aptos"/>
                <w:sz w:val="26"/>
                <w:szCs w:val="26"/>
              </w:rPr>
              <w:t>Owner: Ann Philip</w:t>
            </w:r>
          </w:p>
        </w:tc>
      </w:tr>
      <w:tr w:rsidR="00281111" w:rsidRPr="0002495D" w14:paraId="20210F7E" w14:textId="77777777" w:rsidTr="00434E6E">
        <w:trPr>
          <w:trHeight w:val="564"/>
          <w:jc w:val="center"/>
        </w:trPr>
        <w:tc>
          <w:tcPr>
            <w:tcW w:w="8529" w:type="dxa"/>
            <w:vAlign w:val="center"/>
          </w:tcPr>
          <w:p w14:paraId="22D9FF3A" w14:textId="6FB98E50" w:rsidR="00281111" w:rsidRPr="0002495D" w:rsidRDefault="00281111" w:rsidP="00434E6E">
            <w:pPr>
              <w:spacing w:after="0"/>
              <w:jc w:val="center"/>
              <w:rPr>
                <w:rFonts w:ascii="Aptos" w:hAnsi="Aptos"/>
                <w:sz w:val="26"/>
                <w:szCs w:val="26"/>
              </w:rPr>
            </w:pPr>
            <w:r w:rsidRPr="0002495D">
              <w:rPr>
                <w:rFonts w:ascii="Aptos" w:hAnsi="Aptos"/>
                <w:sz w:val="26"/>
                <w:szCs w:val="26"/>
              </w:rPr>
              <w:t xml:space="preserve">Names of </w:t>
            </w:r>
            <w:r w:rsidR="00CA1CC5" w:rsidRPr="0002495D">
              <w:rPr>
                <w:rFonts w:ascii="Aptos" w:hAnsi="Aptos"/>
                <w:sz w:val="26"/>
                <w:szCs w:val="26"/>
              </w:rPr>
              <w:t xml:space="preserve">the </w:t>
            </w:r>
            <w:r w:rsidRPr="0002495D">
              <w:rPr>
                <w:rFonts w:ascii="Aptos" w:hAnsi="Aptos"/>
                <w:sz w:val="26"/>
                <w:szCs w:val="26"/>
              </w:rPr>
              <w:t>Author: Iman Hatahet</w:t>
            </w:r>
          </w:p>
        </w:tc>
      </w:tr>
      <w:tr w:rsidR="00281111" w:rsidRPr="0002495D" w14:paraId="78F1AE34" w14:textId="77777777" w:rsidTr="00434E6E">
        <w:trPr>
          <w:trHeight w:val="564"/>
          <w:jc w:val="center"/>
        </w:trPr>
        <w:tc>
          <w:tcPr>
            <w:tcW w:w="8529" w:type="dxa"/>
            <w:vAlign w:val="center"/>
          </w:tcPr>
          <w:p w14:paraId="2F5C09D3" w14:textId="4B991AB2" w:rsidR="00281111" w:rsidRPr="0002495D" w:rsidRDefault="00281111" w:rsidP="00434E6E">
            <w:pPr>
              <w:spacing w:after="0"/>
              <w:jc w:val="center"/>
              <w:rPr>
                <w:rFonts w:ascii="Aptos" w:hAnsi="Aptos"/>
                <w:sz w:val="26"/>
                <w:szCs w:val="26"/>
              </w:rPr>
            </w:pPr>
            <w:r w:rsidRPr="0002495D">
              <w:rPr>
                <w:rFonts w:ascii="Aptos" w:hAnsi="Aptos"/>
                <w:sz w:val="26"/>
                <w:szCs w:val="26"/>
              </w:rPr>
              <w:t xml:space="preserve">Date of </w:t>
            </w:r>
            <w:r w:rsidR="00CA1CC5" w:rsidRPr="0002495D">
              <w:rPr>
                <w:rFonts w:ascii="Aptos" w:hAnsi="Aptos"/>
                <w:sz w:val="26"/>
                <w:szCs w:val="26"/>
              </w:rPr>
              <w:t xml:space="preserve">Last </w:t>
            </w:r>
            <w:r w:rsidRPr="0002495D">
              <w:rPr>
                <w:rFonts w:ascii="Aptos" w:hAnsi="Aptos"/>
                <w:sz w:val="26"/>
                <w:szCs w:val="26"/>
              </w:rPr>
              <w:t>Review:  19.05.2026</w:t>
            </w:r>
          </w:p>
        </w:tc>
      </w:tr>
      <w:tr w:rsidR="00281111" w:rsidRPr="0002495D" w14:paraId="3B6DF942" w14:textId="77777777" w:rsidTr="00434E6E">
        <w:trPr>
          <w:trHeight w:val="564"/>
          <w:jc w:val="center"/>
        </w:trPr>
        <w:tc>
          <w:tcPr>
            <w:tcW w:w="8529" w:type="dxa"/>
            <w:vAlign w:val="center"/>
          </w:tcPr>
          <w:p w14:paraId="6AB4F6D3" w14:textId="0C90EF3E" w:rsidR="00281111" w:rsidRPr="0002495D" w:rsidRDefault="00281111" w:rsidP="00434E6E">
            <w:pPr>
              <w:spacing w:after="0"/>
              <w:jc w:val="center"/>
              <w:rPr>
                <w:rFonts w:ascii="Aptos" w:hAnsi="Aptos"/>
                <w:sz w:val="26"/>
                <w:szCs w:val="26"/>
              </w:rPr>
            </w:pPr>
            <w:r w:rsidRPr="0002495D">
              <w:rPr>
                <w:rFonts w:ascii="Aptos" w:hAnsi="Aptos"/>
                <w:sz w:val="26"/>
                <w:szCs w:val="26"/>
              </w:rPr>
              <w:t>Date of Next Review: 19.05.202</w:t>
            </w:r>
            <w:r w:rsidR="002E72F8" w:rsidRPr="0002495D">
              <w:rPr>
                <w:rFonts w:ascii="Aptos" w:hAnsi="Aptos"/>
                <w:sz w:val="26"/>
                <w:szCs w:val="26"/>
              </w:rPr>
              <w:t>7</w:t>
            </w:r>
          </w:p>
        </w:tc>
      </w:tr>
    </w:tbl>
    <w:p w14:paraId="05003571" w14:textId="77777777" w:rsidR="00281111" w:rsidRPr="0002495D" w:rsidRDefault="00281111" w:rsidP="00281111">
      <w:pPr>
        <w:pStyle w:val="BodyText"/>
        <w:rPr>
          <w:rFonts w:ascii="Aptos" w:hAnsi="Aptos"/>
        </w:rPr>
      </w:pPr>
    </w:p>
    <w:p w14:paraId="740EE912" w14:textId="77777777" w:rsidR="00281111" w:rsidRPr="0002495D" w:rsidRDefault="00281111" w:rsidP="00281111">
      <w:pPr>
        <w:pStyle w:val="BodyText"/>
        <w:rPr>
          <w:rFonts w:ascii="Aptos" w:hAnsi="Aptos"/>
        </w:rPr>
      </w:pPr>
    </w:p>
    <w:p w14:paraId="7B103A24" w14:textId="77777777" w:rsidR="00281111" w:rsidRPr="0002495D" w:rsidRDefault="00281111" w:rsidP="00281111">
      <w:pPr>
        <w:pStyle w:val="BodyText"/>
        <w:rPr>
          <w:rFonts w:ascii="Aptos" w:hAnsi="Aptos"/>
        </w:rPr>
      </w:pPr>
    </w:p>
    <w:p w14:paraId="389378C8" w14:textId="77777777" w:rsidR="00281111" w:rsidRPr="0002495D" w:rsidRDefault="00281111" w:rsidP="00281111">
      <w:pPr>
        <w:pStyle w:val="BodyText"/>
        <w:rPr>
          <w:rFonts w:ascii="Aptos" w:hAnsi="Aptos"/>
        </w:rPr>
      </w:pPr>
    </w:p>
    <w:p w14:paraId="0C8D5452" w14:textId="77777777" w:rsidR="00281111" w:rsidRPr="0002495D" w:rsidRDefault="00281111" w:rsidP="00281111">
      <w:pPr>
        <w:pStyle w:val="BodyText"/>
        <w:rPr>
          <w:rFonts w:ascii="Aptos" w:hAnsi="Aptos"/>
        </w:rPr>
      </w:pPr>
    </w:p>
    <w:p w14:paraId="52161FAF" w14:textId="77777777" w:rsidR="002D3910" w:rsidRPr="0002495D" w:rsidRDefault="002D3910">
      <w:pPr>
        <w:jc w:val="center"/>
        <w:rPr>
          <w:rFonts w:ascii="Aptos" w:hAnsi="Aptos"/>
          <w:b/>
          <w:sz w:val="40"/>
        </w:rPr>
      </w:pPr>
    </w:p>
    <w:p w14:paraId="5DE22976" w14:textId="694C6B01" w:rsidR="002D3910" w:rsidRPr="0002495D" w:rsidRDefault="00686A2A">
      <w:pPr>
        <w:jc w:val="center"/>
        <w:rPr>
          <w:rFonts w:ascii="Aptos" w:hAnsi="Aptos"/>
          <w:b/>
          <w:sz w:val="40"/>
        </w:rPr>
      </w:pPr>
      <w:r w:rsidRPr="0002495D">
        <w:rPr>
          <w:rFonts w:ascii="Aptos" w:hAnsi="Aptos"/>
        </w:rPr>
        <w:lastRenderedPageBreak/>
        <w:fldChar w:fldCharType="begin"/>
      </w:r>
      <w:r w:rsidRPr="0002495D">
        <w:rPr>
          <w:rFonts w:ascii="Aptos" w:hAnsi="Aptos"/>
        </w:rPr>
        <w:instrText xml:space="preserve"> INCLUDEPICTURE "https://reigategrammar-riyadh.com/wp-content/uploads/2025/06/emaillogo.png" \* MERGEFORMATINET </w:instrText>
      </w:r>
      <w:r w:rsidRPr="0002495D">
        <w:rPr>
          <w:rFonts w:ascii="Aptos" w:hAnsi="Aptos"/>
        </w:rPr>
        <w:fldChar w:fldCharType="separate"/>
      </w:r>
      <w:r w:rsidRPr="0002495D">
        <w:rPr>
          <w:rFonts w:ascii="Aptos" w:hAnsi="Aptos"/>
        </w:rPr>
        <w:fldChar w:fldCharType="end"/>
      </w:r>
    </w:p>
    <w:p w14:paraId="1EF0906F" w14:textId="2B95F2E0" w:rsidR="000979EB" w:rsidRPr="0002495D" w:rsidRDefault="008C23E3" w:rsidP="002E72F8">
      <w:pPr>
        <w:pStyle w:val="Heading1"/>
        <w:rPr>
          <w:rFonts w:ascii="Aptos" w:hAnsi="Aptos" w:cstheme="minorBidi"/>
          <w:b w:val="0"/>
          <w:bCs w:val="0"/>
          <w:sz w:val="26"/>
          <w:szCs w:val="26"/>
        </w:rPr>
      </w:pPr>
      <w:r w:rsidRPr="0002495D">
        <w:rPr>
          <w:rFonts w:ascii="Aptos" w:hAnsi="Aptos" w:cstheme="minorBidi"/>
          <w:b w:val="0"/>
          <w:bCs w:val="0"/>
          <w:sz w:val="26"/>
          <w:szCs w:val="26"/>
        </w:rPr>
        <w:t xml:space="preserve">Purpose </w:t>
      </w:r>
    </w:p>
    <w:p w14:paraId="5755D964" w14:textId="77777777" w:rsidR="00FE440E" w:rsidRPr="0002495D" w:rsidRDefault="008C23E3">
      <w:pPr>
        <w:rPr>
          <w:rFonts w:ascii="Aptos" w:hAnsi="Aptos"/>
          <w:sz w:val="22"/>
        </w:rPr>
      </w:pPr>
      <w:r w:rsidRPr="0002495D">
        <w:rPr>
          <w:rFonts w:ascii="Aptos" w:hAnsi="Aptos"/>
          <w:sz w:val="22"/>
        </w:rPr>
        <w:t>This parent-facing version explains how assessment, feedback, reporting and examinations are managed at RGSR. It is intended to help parents understand how progress is monitored, how feedback is used to support improvement, how results are reported, and how external qualifications are managed across Cambridge International, Pearson Edexcel and the International Baccalaureate Career-related Programme (IBCP).</w:t>
      </w:r>
    </w:p>
    <w:p w14:paraId="1381C625" w14:textId="77777777" w:rsidR="00FE440E" w:rsidRPr="0002495D" w:rsidRDefault="008C23E3">
      <w:pPr>
        <w:rPr>
          <w:rFonts w:ascii="Aptos" w:hAnsi="Aptos"/>
          <w:sz w:val="22"/>
        </w:rPr>
      </w:pPr>
      <w:r w:rsidRPr="0002495D">
        <w:rPr>
          <w:rFonts w:ascii="Aptos" w:hAnsi="Aptos"/>
          <w:sz w:val="22"/>
        </w:rPr>
        <w:t>This document does not replace the full school policy, the RGSR Examinations Policy, or the official regulations of Cambridge International, Pearson Edexcel, the International Baccalaureate, or any other relevant awarding body. Where examination-board regulations apply, those regulations take precedence.</w:t>
      </w:r>
    </w:p>
    <w:tbl>
      <w:tblPr>
        <w:tblStyle w:val="TableGrid"/>
        <w:tblW w:w="0" w:type="auto"/>
        <w:jc w:val="center"/>
        <w:tblLook w:val="04A0" w:firstRow="1" w:lastRow="0" w:firstColumn="1" w:lastColumn="0" w:noHBand="0" w:noVBand="1"/>
      </w:tblPr>
      <w:tblGrid>
        <w:gridCol w:w="2304"/>
        <w:gridCol w:w="7056"/>
      </w:tblGrid>
      <w:tr w:rsidR="00FE440E" w:rsidRPr="0002495D" w14:paraId="4130F483" w14:textId="77777777">
        <w:trPr>
          <w:jc w:val="center"/>
        </w:trPr>
        <w:tc>
          <w:tcPr>
            <w:tcW w:w="2304" w:type="dxa"/>
            <w:shd w:val="clear" w:color="auto" w:fill="D9EAF7"/>
          </w:tcPr>
          <w:p w14:paraId="749B33BC" w14:textId="77777777" w:rsidR="00FE440E" w:rsidRPr="0002495D" w:rsidRDefault="008C23E3">
            <w:pPr>
              <w:spacing w:after="40"/>
              <w:rPr>
                <w:rFonts w:ascii="Aptos" w:hAnsi="Aptos"/>
                <w:sz w:val="22"/>
              </w:rPr>
            </w:pPr>
            <w:r w:rsidRPr="0002495D">
              <w:rPr>
                <w:rFonts w:ascii="Aptos" w:hAnsi="Aptos"/>
                <w:b/>
                <w:sz w:val="22"/>
              </w:rPr>
              <w:t>Key area</w:t>
            </w:r>
          </w:p>
        </w:tc>
        <w:tc>
          <w:tcPr>
            <w:tcW w:w="7056" w:type="dxa"/>
            <w:shd w:val="clear" w:color="auto" w:fill="D9EAF7"/>
          </w:tcPr>
          <w:p w14:paraId="011C9947" w14:textId="77777777" w:rsidR="00FE440E" w:rsidRPr="0002495D" w:rsidRDefault="008C23E3">
            <w:pPr>
              <w:spacing w:after="40"/>
              <w:rPr>
                <w:rFonts w:ascii="Aptos" w:hAnsi="Aptos"/>
                <w:sz w:val="22"/>
              </w:rPr>
            </w:pPr>
            <w:r w:rsidRPr="0002495D">
              <w:rPr>
                <w:rFonts w:ascii="Aptos" w:hAnsi="Aptos"/>
                <w:b/>
                <w:sz w:val="22"/>
              </w:rPr>
              <w:t>Parent summary</w:t>
            </w:r>
          </w:p>
        </w:tc>
      </w:tr>
      <w:tr w:rsidR="00FE440E" w:rsidRPr="0002495D" w14:paraId="3A190377" w14:textId="77777777">
        <w:trPr>
          <w:jc w:val="center"/>
        </w:trPr>
        <w:tc>
          <w:tcPr>
            <w:tcW w:w="2304" w:type="dxa"/>
          </w:tcPr>
          <w:p w14:paraId="0E211684" w14:textId="77777777" w:rsidR="00FE440E" w:rsidRPr="0002495D" w:rsidRDefault="008C23E3">
            <w:pPr>
              <w:spacing w:after="40"/>
              <w:rPr>
                <w:rFonts w:ascii="Aptos" w:hAnsi="Aptos"/>
                <w:sz w:val="22"/>
              </w:rPr>
            </w:pPr>
            <w:r w:rsidRPr="0002495D">
              <w:rPr>
                <w:rFonts w:ascii="Aptos" w:hAnsi="Aptos"/>
                <w:sz w:val="22"/>
              </w:rPr>
              <w:t>Assessment</w:t>
            </w:r>
          </w:p>
        </w:tc>
        <w:tc>
          <w:tcPr>
            <w:tcW w:w="7056" w:type="dxa"/>
          </w:tcPr>
          <w:p w14:paraId="26698B7D" w14:textId="77777777" w:rsidR="00FE440E" w:rsidRPr="0002495D" w:rsidRDefault="008C23E3">
            <w:pPr>
              <w:spacing w:after="40"/>
              <w:rPr>
                <w:rFonts w:ascii="Aptos" w:hAnsi="Aptos"/>
                <w:sz w:val="22"/>
              </w:rPr>
            </w:pPr>
            <w:r w:rsidRPr="0002495D">
              <w:rPr>
                <w:rFonts w:ascii="Aptos" w:hAnsi="Aptos"/>
                <w:sz w:val="22"/>
              </w:rPr>
              <w:t>Assessment is used to understand what students know, what they can do, and what they need to improve.</w:t>
            </w:r>
          </w:p>
        </w:tc>
      </w:tr>
      <w:tr w:rsidR="00FE440E" w:rsidRPr="0002495D" w14:paraId="5E767381" w14:textId="77777777">
        <w:trPr>
          <w:jc w:val="center"/>
        </w:trPr>
        <w:tc>
          <w:tcPr>
            <w:tcW w:w="2304" w:type="dxa"/>
          </w:tcPr>
          <w:p w14:paraId="6CA6C9E3" w14:textId="77777777" w:rsidR="00FE440E" w:rsidRPr="0002495D" w:rsidRDefault="008C23E3">
            <w:pPr>
              <w:spacing w:after="40"/>
              <w:rPr>
                <w:rFonts w:ascii="Aptos" w:hAnsi="Aptos"/>
                <w:sz w:val="22"/>
              </w:rPr>
            </w:pPr>
            <w:r w:rsidRPr="0002495D">
              <w:rPr>
                <w:rFonts w:ascii="Aptos" w:hAnsi="Aptos"/>
                <w:sz w:val="22"/>
              </w:rPr>
              <w:t>Feedback</w:t>
            </w:r>
          </w:p>
        </w:tc>
        <w:tc>
          <w:tcPr>
            <w:tcW w:w="7056" w:type="dxa"/>
          </w:tcPr>
          <w:p w14:paraId="559C0B9D" w14:textId="77777777" w:rsidR="00FE440E" w:rsidRPr="0002495D" w:rsidRDefault="008C23E3">
            <w:pPr>
              <w:spacing w:after="40"/>
              <w:rPr>
                <w:rFonts w:ascii="Aptos" w:hAnsi="Aptos"/>
                <w:sz w:val="22"/>
              </w:rPr>
            </w:pPr>
            <w:r w:rsidRPr="0002495D">
              <w:rPr>
                <w:rFonts w:ascii="Aptos" w:hAnsi="Aptos"/>
                <w:sz w:val="22"/>
              </w:rPr>
              <w:t>Feedback explains strengths, areas for improvement, and the next steps needed to make progress.</w:t>
            </w:r>
          </w:p>
        </w:tc>
      </w:tr>
      <w:tr w:rsidR="00FE440E" w:rsidRPr="0002495D" w14:paraId="0F1E301B" w14:textId="77777777">
        <w:trPr>
          <w:jc w:val="center"/>
        </w:trPr>
        <w:tc>
          <w:tcPr>
            <w:tcW w:w="2304" w:type="dxa"/>
          </w:tcPr>
          <w:p w14:paraId="013A042B" w14:textId="77777777" w:rsidR="00FE440E" w:rsidRPr="0002495D" w:rsidRDefault="008C23E3">
            <w:pPr>
              <w:spacing w:after="40"/>
              <w:rPr>
                <w:rFonts w:ascii="Aptos" w:hAnsi="Aptos"/>
                <w:sz w:val="22"/>
              </w:rPr>
            </w:pPr>
            <w:r w:rsidRPr="0002495D">
              <w:rPr>
                <w:rFonts w:ascii="Aptos" w:hAnsi="Aptos"/>
                <w:sz w:val="22"/>
              </w:rPr>
              <w:t>Reporting</w:t>
            </w:r>
          </w:p>
        </w:tc>
        <w:tc>
          <w:tcPr>
            <w:tcW w:w="7056" w:type="dxa"/>
          </w:tcPr>
          <w:p w14:paraId="29BE931B" w14:textId="77777777" w:rsidR="00FE440E" w:rsidRPr="0002495D" w:rsidRDefault="008C23E3">
            <w:pPr>
              <w:spacing w:after="40"/>
              <w:rPr>
                <w:rFonts w:ascii="Aptos" w:hAnsi="Aptos"/>
                <w:sz w:val="22"/>
              </w:rPr>
            </w:pPr>
            <w:r w:rsidRPr="0002495D">
              <w:rPr>
                <w:rFonts w:ascii="Aptos" w:hAnsi="Aptos"/>
                <w:sz w:val="22"/>
              </w:rPr>
              <w:t>Formal reports are shared through the iSAMS Parent Portal according to the school reporting cycle.</w:t>
            </w:r>
          </w:p>
        </w:tc>
      </w:tr>
      <w:tr w:rsidR="00FE440E" w:rsidRPr="0002495D" w14:paraId="791D8BCD" w14:textId="77777777">
        <w:trPr>
          <w:jc w:val="center"/>
        </w:trPr>
        <w:tc>
          <w:tcPr>
            <w:tcW w:w="2304" w:type="dxa"/>
          </w:tcPr>
          <w:p w14:paraId="14282AC1" w14:textId="77777777" w:rsidR="00FE440E" w:rsidRPr="0002495D" w:rsidRDefault="008C23E3">
            <w:pPr>
              <w:spacing w:after="40"/>
              <w:rPr>
                <w:rFonts w:ascii="Aptos" w:hAnsi="Aptos"/>
                <w:sz w:val="22"/>
              </w:rPr>
            </w:pPr>
            <w:r w:rsidRPr="0002495D">
              <w:rPr>
                <w:rFonts w:ascii="Aptos" w:hAnsi="Aptos"/>
                <w:sz w:val="22"/>
              </w:rPr>
              <w:t>External qualifications</w:t>
            </w:r>
          </w:p>
        </w:tc>
        <w:tc>
          <w:tcPr>
            <w:tcW w:w="7056" w:type="dxa"/>
          </w:tcPr>
          <w:p w14:paraId="63FCED04" w14:textId="77777777" w:rsidR="00FE440E" w:rsidRPr="0002495D" w:rsidRDefault="008C23E3">
            <w:pPr>
              <w:spacing w:after="40"/>
              <w:rPr>
                <w:rFonts w:ascii="Aptos" w:hAnsi="Aptos"/>
                <w:sz w:val="22"/>
              </w:rPr>
            </w:pPr>
            <w:r w:rsidRPr="0002495D">
              <w:rPr>
                <w:rFonts w:ascii="Aptos" w:hAnsi="Aptos"/>
                <w:sz w:val="22"/>
              </w:rPr>
              <w:t>External examinations and coursework follow the rules of the relevant awarding body: Cambridge International, Pearson Edexcel or IB.</w:t>
            </w:r>
          </w:p>
        </w:tc>
      </w:tr>
      <w:tr w:rsidR="00FE440E" w:rsidRPr="0002495D" w14:paraId="50E57C82" w14:textId="77777777">
        <w:trPr>
          <w:jc w:val="center"/>
        </w:trPr>
        <w:tc>
          <w:tcPr>
            <w:tcW w:w="2304" w:type="dxa"/>
          </w:tcPr>
          <w:p w14:paraId="7D893BCB" w14:textId="77777777" w:rsidR="00FE440E" w:rsidRPr="0002495D" w:rsidRDefault="008C23E3">
            <w:pPr>
              <w:spacing w:after="40"/>
              <w:rPr>
                <w:rFonts w:ascii="Aptos" w:hAnsi="Aptos"/>
                <w:sz w:val="22"/>
              </w:rPr>
            </w:pPr>
            <w:r w:rsidRPr="0002495D">
              <w:rPr>
                <w:rFonts w:ascii="Aptos" w:hAnsi="Aptos"/>
                <w:sz w:val="22"/>
              </w:rPr>
              <w:t>Inclusion</w:t>
            </w:r>
          </w:p>
        </w:tc>
        <w:tc>
          <w:tcPr>
            <w:tcW w:w="7056" w:type="dxa"/>
          </w:tcPr>
          <w:p w14:paraId="14C7D28F" w14:textId="77777777" w:rsidR="00FE440E" w:rsidRPr="0002495D" w:rsidRDefault="008C23E3">
            <w:pPr>
              <w:spacing w:after="40"/>
              <w:rPr>
                <w:rFonts w:ascii="Aptos" w:hAnsi="Aptos"/>
                <w:sz w:val="22"/>
              </w:rPr>
            </w:pPr>
            <w:r w:rsidRPr="0002495D">
              <w:rPr>
                <w:rFonts w:ascii="Aptos" w:hAnsi="Aptos"/>
                <w:sz w:val="22"/>
              </w:rPr>
              <w:t>Access arrangements must be evidence-based, reflect the student’s normal way of working, and comply with examination-board rules.</w:t>
            </w:r>
          </w:p>
        </w:tc>
      </w:tr>
    </w:tbl>
    <w:p w14:paraId="0EE668C9" w14:textId="77777777" w:rsidR="00FE440E" w:rsidRPr="0002495D" w:rsidRDefault="00FE440E">
      <w:pPr>
        <w:rPr>
          <w:rFonts w:ascii="Aptos" w:hAnsi="Aptos"/>
          <w:sz w:val="24"/>
          <w:szCs w:val="24"/>
        </w:rPr>
      </w:pPr>
    </w:p>
    <w:p w14:paraId="384EAD87" w14:textId="77777777" w:rsidR="00FE440E" w:rsidRPr="0002495D" w:rsidRDefault="008C23E3">
      <w:pPr>
        <w:pStyle w:val="Heading1"/>
        <w:rPr>
          <w:rFonts w:ascii="Aptos" w:hAnsi="Aptos" w:cstheme="minorBidi"/>
          <w:b w:val="0"/>
          <w:bCs w:val="0"/>
          <w:sz w:val="26"/>
          <w:szCs w:val="26"/>
        </w:rPr>
      </w:pPr>
      <w:r w:rsidRPr="0002495D">
        <w:rPr>
          <w:rFonts w:ascii="Aptos" w:hAnsi="Aptos" w:cstheme="minorBidi"/>
          <w:b w:val="0"/>
          <w:bCs w:val="0"/>
          <w:sz w:val="26"/>
          <w:szCs w:val="26"/>
        </w:rPr>
        <w:t>1. Assessment principles at RGSR</w:t>
      </w:r>
    </w:p>
    <w:p w14:paraId="3D63EAF6" w14:textId="77777777" w:rsidR="00FE440E" w:rsidRPr="0002495D" w:rsidRDefault="008C23E3">
      <w:pPr>
        <w:rPr>
          <w:rFonts w:ascii="Aptos" w:hAnsi="Aptos"/>
          <w:sz w:val="24"/>
          <w:szCs w:val="24"/>
        </w:rPr>
      </w:pPr>
      <w:r w:rsidRPr="0002495D">
        <w:rPr>
          <w:rFonts w:ascii="Aptos" w:hAnsi="Aptos"/>
          <w:sz w:val="24"/>
          <w:szCs w:val="24"/>
        </w:rPr>
        <w:t>Assessment is integral to teaching and learning. It should be fair, purposeful, constructive and used to support student progress. Assessment information helps teachers identify strengths, gaps in knowledge, misconceptions, students requiring additional support, and students who need further stretch and challenge.</w:t>
      </w:r>
    </w:p>
    <w:p w14:paraId="3D39ADD1" w14:textId="77777777" w:rsidR="00FE440E" w:rsidRPr="0002495D" w:rsidRDefault="008C23E3" w:rsidP="002E72F8">
      <w:pPr>
        <w:pStyle w:val="Heading1"/>
        <w:spacing w:before="0"/>
        <w:rPr>
          <w:rFonts w:ascii="Aptos" w:hAnsi="Aptos" w:cstheme="minorBidi"/>
          <w:b w:val="0"/>
          <w:bCs w:val="0"/>
          <w:sz w:val="26"/>
          <w:szCs w:val="26"/>
        </w:rPr>
      </w:pPr>
      <w:r w:rsidRPr="0002495D">
        <w:rPr>
          <w:rFonts w:ascii="Aptos" w:hAnsi="Aptos" w:cstheme="minorBidi"/>
          <w:b w:val="0"/>
          <w:bCs w:val="0"/>
          <w:sz w:val="26"/>
          <w:szCs w:val="26"/>
        </w:rPr>
        <w:t>2. Why students are assessed</w:t>
      </w:r>
    </w:p>
    <w:p w14:paraId="68CE0B95" w14:textId="77777777" w:rsidR="00FE440E" w:rsidRPr="0002495D" w:rsidRDefault="008C23E3">
      <w:pPr>
        <w:rPr>
          <w:rFonts w:ascii="Aptos" w:hAnsi="Aptos"/>
          <w:sz w:val="22"/>
        </w:rPr>
      </w:pPr>
      <w:r w:rsidRPr="0002495D">
        <w:rPr>
          <w:rFonts w:ascii="Aptos" w:hAnsi="Aptos"/>
          <w:sz w:val="22"/>
        </w:rPr>
        <w:t>Assessment helps students understand where they are in their learning, where they need to go next, and how to improve. It also helps teachers adapt teaching, plan interventions, and provide appropriate support or challenge.</w:t>
      </w:r>
    </w:p>
    <w:p w14:paraId="51FF71E3" w14:textId="77777777" w:rsidR="002E72F8" w:rsidRPr="0002495D" w:rsidRDefault="002E72F8">
      <w:pPr>
        <w:rPr>
          <w:rFonts w:ascii="Aptos" w:hAnsi="Aptos"/>
          <w:sz w:val="22"/>
        </w:rPr>
      </w:pPr>
    </w:p>
    <w:p w14:paraId="380CD5A1" w14:textId="77777777" w:rsidR="002E72F8" w:rsidRPr="0002495D" w:rsidRDefault="002E72F8">
      <w:pPr>
        <w:rPr>
          <w:rFonts w:ascii="Aptos" w:hAnsi="Aptos"/>
          <w:sz w:val="22"/>
        </w:rPr>
      </w:pPr>
    </w:p>
    <w:p w14:paraId="584C55F7" w14:textId="77777777" w:rsidR="002E72F8" w:rsidRPr="0002495D" w:rsidRDefault="002E72F8">
      <w:pPr>
        <w:rPr>
          <w:rFonts w:ascii="Aptos" w:hAnsi="Aptos"/>
          <w:sz w:val="22"/>
        </w:rPr>
      </w:pPr>
    </w:p>
    <w:p w14:paraId="7FEE13FB" w14:textId="77777777" w:rsidR="002E72F8" w:rsidRPr="0002495D" w:rsidRDefault="002E72F8">
      <w:pPr>
        <w:rPr>
          <w:rFonts w:ascii="Aptos" w:hAnsi="Aptos"/>
          <w:sz w:val="22"/>
        </w:rPr>
      </w:pPr>
    </w:p>
    <w:tbl>
      <w:tblPr>
        <w:tblStyle w:val="TableGrid"/>
        <w:tblW w:w="0" w:type="auto"/>
        <w:jc w:val="center"/>
        <w:tblLook w:val="04A0" w:firstRow="1" w:lastRow="0" w:firstColumn="1" w:lastColumn="0" w:noHBand="0" w:noVBand="1"/>
      </w:tblPr>
      <w:tblGrid>
        <w:gridCol w:w="2448"/>
        <w:gridCol w:w="6912"/>
      </w:tblGrid>
      <w:tr w:rsidR="00FE440E" w:rsidRPr="0002495D" w14:paraId="1F98F5E2" w14:textId="77777777">
        <w:trPr>
          <w:jc w:val="center"/>
        </w:trPr>
        <w:tc>
          <w:tcPr>
            <w:tcW w:w="2448" w:type="dxa"/>
            <w:shd w:val="clear" w:color="auto" w:fill="D9EAF7"/>
          </w:tcPr>
          <w:p w14:paraId="439F391B" w14:textId="77777777" w:rsidR="00FE440E" w:rsidRPr="0002495D" w:rsidRDefault="008C23E3">
            <w:pPr>
              <w:spacing w:after="40"/>
              <w:rPr>
                <w:rFonts w:ascii="Aptos" w:hAnsi="Aptos"/>
                <w:sz w:val="22"/>
              </w:rPr>
            </w:pPr>
            <w:r w:rsidRPr="0002495D">
              <w:rPr>
                <w:rFonts w:ascii="Aptos" w:hAnsi="Aptos"/>
                <w:b/>
                <w:sz w:val="22"/>
              </w:rPr>
              <w:lastRenderedPageBreak/>
              <w:t>Type of assessment</w:t>
            </w:r>
          </w:p>
        </w:tc>
        <w:tc>
          <w:tcPr>
            <w:tcW w:w="6912" w:type="dxa"/>
            <w:shd w:val="clear" w:color="auto" w:fill="D9EAF7"/>
          </w:tcPr>
          <w:p w14:paraId="4E5EA2D0" w14:textId="77777777" w:rsidR="00FE440E" w:rsidRPr="0002495D" w:rsidRDefault="008C23E3">
            <w:pPr>
              <w:spacing w:after="40"/>
              <w:rPr>
                <w:rFonts w:ascii="Aptos" w:hAnsi="Aptos"/>
                <w:sz w:val="22"/>
              </w:rPr>
            </w:pPr>
            <w:r w:rsidRPr="0002495D">
              <w:rPr>
                <w:rFonts w:ascii="Aptos" w:hAnsi="Aptos"/>
                <w:b/>
                <w:sz w:val="22"/>
              </w:rPr>
              <w:t>What it means for parents</w:t>
            </w:r>
          </w:p>
        </w:tc>
      </w:tr>
      <w:tr w:rsidR="00FE440E" w:rsidRPr="0002495D" w14:paraId="36050D71" w14:textId="77777777">
        <w:trPr>
          <w:jc w:val="center"/>
        </w:trPr>
        <w:tc>
          <w:tcPr>
            <w:tcW w:w="2448" w:type="dxa"/>
          </w:tcPr>
          <w:p w14:paraId="4A1D9D4B" w14:textId="77777777" w:rsidR="00FE440E" w:rsidRPr="0002495D" w:rsidRDefault="008C23E3">
            <w:pPr>
              <w:spacing w:after="40"/>
              <w:rPr>
                <w:rFonts w:ascii="Aptos" w:hAnsi="Aptos"/>
                <w:sz w:val="22"/>
              </w:rPr>
            </w:pPr>
            <w:r w:rsidRPr="0002495D">
              <w:rPr>
                <w:rFonts w:ascii="Aptos" w:hAnsi="Aptos"/>
                <w:sz w:val="22"/>
              </w:rPr>
              <w:t>Diagnostic assessment</w:t>
            </w:r>
          </w:p>
        </w:tc>
        <w:tc>
          <w:tcPr>
            <w:tcW w:w="6912" w:type="dxa"/>
          </w:tcPr>
          <w:p w14:paraId="6D2816F1" w14:textId="77777777" w:rsidR="00FE440E" w:rsidRPr="0002495D" w:rsidRDefault="008C23E3">
            <w:pPr>
              <w:spacing w:after="40"/>
              <w:rPr>
                <w:rFonts w:ascii="Aptos" w:hAnsi="Aptos"/>
                <w:sz w:val="22"/>
              </w:rPr>
            </w:pPr>
            <w:r w:rsidRPr="0002495D">
              <w:rPr>
                <w:rFonts w:ascii="Aptos" w:hAnsi="Aptos"/>
                <w:sz w:val="22"/>
              </w:rPr>
              <w:t>Used to understand starting points, prior attainment and possible learning needs. This may include baseline assessments, CAT4, GL Progress Tests, entry assessments, or other diagnostic information.</w:t>
            </w:r>
          </w:p>
        </w:tc>
      </w:tr>
      <w:tr w:rsidR="00FE440E" w:rsidRPr="0002495D" w14:paraId="5818B7CA" w14:textId="77777777">
        <w:trPr>
          <w:jc w:val="center"/>
        </w:trPr>
        <w:tc>
          <w:tcPr>
            <w:tcW w:w="2448" w:type="dxa"/>
          </w:tcPr>
          <w:p w14:paraId="7AE1857C" w14:textId="77777777" w:rsidR="00FE440E" w:rsidRPr="0002495D" w:rsidRDefault="008C23E3">
            <w:pPr>
              <w:spacing w:after="40"/>
              <w:rPr>
                <w:rFonts w:ascii="Aptos" w:hAnsi="Aptos"/>
                <w:sz w:val="22"/>
              </w:rPr>
            </w:pPr>
            <w:r w:rsidRPr="0002495D">
              <w:rPr>
                <w:rFonts w:ascii="Aptos" w:hAnsi="Aptos"/>
                <w:sz w:val="22"/>
              </w:rPr>
              <w:t>Formative assessment</w:t>
            </w:r>
          </w:p>
        </w:tc>
        <w:tc>
          <w:tcPr>
            <w:tcW w:w="6912" w:type="dxa"/>
          </w:tcPr>
          <w:p w14:paraId="38CAD34B" w14:textId="77777777" w:rsidR="00FE440E" w:rsidRPr="0002495D" w:rsidRDefault="008C23E3">
            <w:pPr>
              <w:spacing w:after="40"/>
              <w:rPr>
                <w:rFonts w:ascii="Aptos" w:hAnsi="Aptos"/>
                <w:sz w:val="22"/>
              </w:rPr>
            </w:pPr>
            <w:r w:rsidRPr="0002495D">
              <w:rPr>
                <w:rFonts w:ascii="Aptos" w:hAnsi="Aptos"/>
                <w:sz w:val="22"/>
              </w:rPr>
              <w:t>Ongoing assessment during learning. It may include questioning, classwork, homework, short tasks, self-assessment, peer assessment and teacher feedback. Its main purpose is improvement.</w:t>
            </w:r>
          </w:p>
        </w:tc>
      </w:tr>
      <w:tr w:rsidR="00FE440E" w:rsidRPr="0002495D" w14:paraId="0241D100" w14:textId="77777777">
        <w:trPr>
          <w:jc w:val="center"/>
        </w:trPr>
        <w:tc>
          <w:tcPr>
            <w:tcW w:w="2448" w:type="dxa"/>
          </w:tcPr>
          <w:p w14:paraId="474FAE87" w14:textId="77777777" w:rsidR="00FE440E" w:rsidRPr="0002495D" w:rsidRDefault="008C23E3">
            <w:pPr>
              <w:spacing w:after="40"/>
              <w:rPr>
                <w:rFonts w:ascii="Aptos" w:hAnsi="Aptos"/>
                <w:sz w:val="22"/>
              </w:rPr>
            </w:pPr>
            <w:r w:rsidRPr="0002495D">
              <w:rPr>
                <w:rFonts w:ascii="Aptos" w:hAnsi="Aptos"/>
                <w:sz w:val="22"/>
              </w:rPr>
              <w:t>Summative assessment</w:t>
            </w:r>
          </w:p>
        </w:tc>
        <w:tc>
          <w:tcPr>
            <w:tcW w:w="6912" w:type="dxa"/>
          </w:tcPr>
          <w:p w14:paraId="56E74B55" w14:textId="77777777" w:rsidR="00FE440E" w:rsidRPr="0002495D" w:rsidRDefault="008C23E3">
            <w:pPr>
              <w:spacing w:after="40"/>
              <w:rPr>
                <w:rFonts w:ascii="Aptos" w:hAnsi="Aptos"/>
                <w:sz w:val="22"/>
              </w:rPr>
            </w:pPr>
            <w:r w:rsidRPr="0002495D">
              <w:rPr>
                <w:rFonts w:ascii="Aptos" w:hAnsi="Aptos"/>
                <w:sz w:val="22"/>
              </w:rPr>
              <w:t>Assessment of learning at the end of a unit, topic, term or course. It may include tests, essays, practical tasks, projects, past-paper questions, mock examinations or end-of-year examinations.</w:t>
            </w:r>
          </w:p>
        </w:tc>
      </w:tr>
      <w:tr w:rsidR="00FE440E" w:rsidRPr="0002495D" w14:paraId="474E826C" w14:textId="77777777">
        <w:trPr>
          <w:jc w:val="center"/>
        </w:trPr>
        <w:tc>
          <w:tcPr>
            <w:tcW w:w="2448" w:type="dxa"/>
          </w:tcPr>
          <w:p w14:paraId="31FBADAA" w14:textId="77777777" w:rsidR="00FE440E" w:rsidRPr="0002495D" w:rsidRDefault="008C23E3">
            <w:pPr>
              <w:spacing w:after="40"/>
              <w:rPr>
                <w:rFonts w:ascii="Aptos" w:hAnsi="Aptos"/>
                <w:sz w:val="22"/>
              </w:rPr>
            </w:pPr>
            <w:r w:rsidRPr="0002495D">
              <w:rPr>
                <w:rFonts w:ascii="Aptos" w:hAnsi="Aptos"/>
                <w:sz w:val="22"/>
              </w:rPr>
              <w:t>Assessment as learning</w:t>
            </w:r>
          </w:p>
        </w:tc>
        <w:tc>
          <w:tcPr>
            <w:tcW w:w="6912" w:type="dxa"/>
          </w:tcPr>
          <w:p w14:paraId="1F42233C" w14:textId="77777777" w:rsidR="00FE440E" w:rsidRPr="0002495D" w:rsidRDefault="008C23E3">
            <w:pPr>
              <w:spacing w:after="40"/>
              <w:rPr>
                <w:rFonts w:ascii="Aptos" w:hAnsi="Aptos"/>
                <w:sz w:val="22"/>
              </w:rPr>
            </w:pPr>
            <w:r w:rsidRPr="0002495D">
              <w:rPr>
                <w:rFonts w:ascii="Aptos" w:hAnsi="Aptos"/>
                <w:sz w:val="22"/>
              </w:rPr>
              <w:t>Students reflect on their own work, understand success criteria, review feedback and identify their next steps.</w:t>
            </w:r>
          </w:p>
        </w:tc>
      </w:tr>
    </w:tbl>
    <w:p w14:paraId="359875AD" w14:textId="77777777" w:rsidR="00FE440E" w:rsidRPr="0002495D" w:rsidRDefault="008C23E3">
      <w:pPr>
        <w:pStyle w:val="Heading1"/>
        <w:rPr>
          <w:rFonts w:ascii="Aptos" w:hAnsi="Aptos" w:cstheme="minorBidi"/>
          <w:b w:val="0"/>
          <w:bCs w:val="0"/>
          <w:sz w:val="26"/>
          <w:szCs w:val="26"/>
        </w:rPr>
      </w:pPr>
      <w:r w:rsidRPr="0002495D">
        <w:rPr>
          <w:rFonts w:ascii="Aptos" w:hAnsi="Aptos" w:cstheme="minorBidi"/>
          <w:b w:val="0"/>
          <w:bCs w:val="0"/>
          <w:sz w:val="26"/>
          <w:szCs w:val="26"/>
        </w:rPr>
        <w:t>3. Curriculum and examination pathways covered by this policy</w:t>
      </w:r>
    </w:p>
    <w:p w14:paraId="34E74BBC" w14:textId="77777777" w:rsidR="00FE440E" w:rsidRPr="0002495D" w:rsidRDefault="008C23E3">
      <w:pPr>
        <w:rPr>
          <w:rFonts w:ascii="Aptos" w:hAnsi="Aptos"/>
          <w:sz w:val="22"/>
        </w:rPr>
      </w:pPr>
      <w:r w:rsidRPr="0002495D">
        <w:rPr>
          <w:rFonts w:ascii="Aptos" w:hAnsi="Aptos"/>
          <w:sz w:val="22"/>
        </w:rPr>
        <w:t>RGSR assessment practices support students across internal school assessments and recognised external qualification pathways. Parents should note that assessment requirements vary according to year group, subject, course and awarding body.</w:t>
      </w:r>
    </w:p>
    <w:tbl>
      <w:tblPr>
        <w:tblStyle w:val="TableGrid"/>
        <w:tblW w:w="0" w:type="auto"/>
        <w:jc w:val="center"/>
        <w:tblLook w:val="04A0" w:firstRow="1" w:lastRow="0" w:firstColumn="1" w:lastColumn="0" w:noHBand="0" w:noVBand="1"/>
      </w:tblPr>
      <w:tblGrid>
        <w:gridCol w:w="2592"/>
        <w:gridCol w:w="6768"/>
      </w:tblGrid>
      <w:tr w:rsidR="00FE440E" w:rsidRPr="0002495D" w14:paraId="16DC0CFD" w14:textId="77777777">
        <w:trPr>
          <w:jc w:val="center"/>
        </w:trPr>
        <w:tc>
          <w:tcPr>
            <w:tcW w:w="2592" w:type="dxa"/>
            <w:shd w:val="clear" w:color="auto" w:fill="D9EAF7"/>
          </w:tcPr>
          <w:p w14:paraId="285135A1" w14:textId="65C114B1" w:rsidR="00FE440E" w:rsidRPr="0002495D" w:rsidRDefault="007F00C9">
            <w:pPr>
              <w:spacing w:after="40"/>
              <w:rPr>
                <w:rFonts w:ascii="Aptos" w:hAnsi="Aptos"/>
                <w:sz w:val="22"/>
              </w:rPr>
            </w:pPr>
            <w:r>
              <w:rPr>
                <w:rFonts w:ascii="Aptos" w:hAnsi="Aptos"/>
                <w:b/>
                <w:sz w:val="22"/>
              </w:rPr>
              <w:t>Pathway/awarding</w:t>
            </w:r>
            <w:r w:rsidR="008C23E3" w:rsidRPr="0002495D">
              <w:rPr>
                <w:rFonts w:ascii="Aptos" w:hAnsi="Aptos"/>
                <w:b/>
                <w:sz w:val="22"/>
              </w:rPr>
              <w:t xml:space="preserve"> body</w:t>
            </w:r>
          </w:p>
        </w:tc>
        <w:tc>
          <w:tcPr>
            <w:tcW w:w="6768" w:type="dxa"/>
            <w:shd w:val="clear" w:color="auto" w:fill="D9EAF7"/>
          </w:tcPr>
          <w:p w14:paraId="4E831C28" w14:textId="77777777" w:rsidR="00FE440E" w:rsidRPr="0002495D" w:rsidRDefault="008C23E3">
            <w:pPr>
              <w:spacing w:after="40"/>
              <w:rPr>
                <w:rFonts w:ascii="Aptos" w:hAnsi="Aptos"/>
                <w:sz w:val="22"/>
              </w:rPr>
            </w:pPr>
            <w:r w:rsidRPr="0002495D">
              <w:rPr>
                <w:rFonts w:ascii="Aptos" w:hAnsi="Aptos"/>
                <w:b/>
                <w:sz w:val="22"/>
              </w:rPr>
              <w:t>How assessment is managed</w:t>
            </w:r>
          </w:p>
        </w:tc>
      </w:tr>
      <w:tr w:rsidR="00FE440E" w:rsidRPr="0002495D" w14:paraId="357890C6" w14:textId="77777777">
        <w:trPr>
          <w:jc w:val="center"/>
        </w:trPr>
        <w:tc>
          <w:tcPr>
            <w:tcW w:w="2592" w:type="dxa"/>
          </w:tcPr>
          <w:p w14:paraId="12EB1350" w14:textId="77777777" w:rsidR="00FE440E" w:rsidRPr="0002495D" w:rsidRDefault="008C23E3">
            <w:pPr>
              <w:spacing w:after="40"/>
              <w:rPr>
                <w:rFonts w:ascii="Aptos" w:hAnsi="Aptos"/>
                <w:sz w:val="22"/>
              </w:rPr>
            </w:pPr>
            <w:r w:rsidRPr="0002495D">
              <w:rPr>
                <w:rFonts w:ascii="Aptos" w:hAnsi="Aptos"/>
                <w:sz w:val="22"/>
              </w:rPr>
              <w:t>Cambridge International</w:t>
            </w:r>
          </w:p>
        </w:tc>
        <w:tc>
          <w:tcPr>
            <w:tcW w:w="6768" w:type="dxa"/>
          </w:tcPr>
          <w:p w14:paraId="5F50AFE3" w14:textId="77777777" w:rsidR="00FE440E" w:rsidRPr="0002495D" w:rsidRDefault="008C23E3">
            <w:pPr>
              <w:spacing w:after="40"/>
              <w:rPr>
                <w:rFonts w:ascii="Aptos" w:hAnsi="Aptos"/>
                <w:sz w:val="22"/>
              </w:rPr>
            </w:pPr>
            <w:r w:rsidRPr="0002495D">
              <w:rPr>
                <w:rFonts w:ascii="Aptos" w:hAnsi="Aptos"/>
                <w:sz w:val="22"/>
              </w:rPr>
              <w:t>Cambridge International qualifications are assessed according to Cambridge requirements. This may include external examinations and, where relevant, practical, coursework or speaking components. School-based assessments and mock examinations help monitor readiness for final external examinations.</w:t>
            </w:r>
          </w:p>
        </w:tc>
      </w:tr>
      <w:tr w:rsidR="00FE440E" w:rsidRPr="0002495D" w14:paraId="6E89F75C" w14:textId="77777777">
        <w:trPr>
          <w:jc w:val="center"/>
        </w:trPr>
        <w:tc>
          <w:tcPr>
            <w:tcW w:w="2592" w:type="dxa"/>
          </w:tcPr>
          <w:p w14:paraId="6D56D8B0" w14:textId="77777777" w:rsidR="00FE440E" w:rsidRPr="0002495D" w:rsidRDefault="008C23E3">
            <w:pPr>
              <w:spacing w:after="40"/>
              <w:rPr>
                <w:rFonts w:ascii="Aptos" w:hAnsi="Aptos"/>
                <w:sz w:val="22"/>
              </w:rPr>
            </w:pPr>
            <w:r w:rsidRPr="0002495D">
              <w:rPr>
                <w:rFonts w:ascii="Aptos" w:hAnsi="Aptos"/>
                <w:sz w:val="22"/>
              </w:rPr>
              <w:t>Pearson Edexcel</w:t>
            </w:r>
          </w:p>
        </w:tc>
        <w:tc>
          <w:tcPr>
            <w:tcW w:w="6768" w:type="dxa"/>
          </w:tcPr>
          <w:p w14:paraId="37C3D332" w14:textId="77777777" w:rsidR="00FE440E" w:rsidRPr="0002495D" w:rsidRDefault="008C23E3">
            <w:pPr>
              <w:spacing w:after="40"/>
              <w:rPr>
                <w:rFonts w:ascii="Aptos" w:hAnsi="Aptos"/>
                <w:sz w:val="22"/>
              </w:rPr>
            </w:pPr>
            <w:r w:rsidRPr="0002495D">
              <w:rPr>
                <w:rFonts w:ascii="Aptos" w:hAnsi="Aptos"/>
                <w:sz w:val="22"/>
              </w:rPr>
              <w:t>Pearson Edexcel International GCSE or other Edexcel courses are assessed according to Pearson Edexcel specifications and examination-board regulations. Internal assessments, modular assessments where applicable, and mock examinations are used to support preparation and progress tracking.</w:t>
            </w:r>
          </w:p>
        </w:tc>
      </w:tr>
      <w:tr w:rsidR="00FE440E" w:rsidRPr="0002495D" w14:paraId="378309F0" w14:textId="77777777">
        <w:trPr>
          <w:jc w:val="center"/>
        </w:trPr>
        <w:tc>
          <w:tcPr>
            <w:tcW w:w="2592" w:type="dxa"/>
          </w:tcPr>
          <w:p w14:paraId="3DE3683A" w14:textId="77777777" w:rsidR="00FE440E" w:rsidRPr="0002495D" w:rsidRDefault="008C23E3">
            <w:pPr>
              <w:spacing w:after="40"/>
              <w:rPr>
                <w:rFonts w:ascii="Aptos" w:hAnsi="Aptos"/>
                <w:sz w:val="22"/>
              </w:rPr>
            </w:pPr>
            <w:r w:rsidRPr="0002495D">
              <w:rPr>
                <w:rFonts w:ascii="Aptos" w:hAnsi="Aptos"/>
                <w:sz w:val="22"/>
              </w:rPr>
              <w:t>IBCP</w:t>
            </w:r>
          </w:p>
        </w:tc>
        <w:tc>
          <w:tcPr>
            <w:tcW w:w="6768" w:type="dxa"/>
          </w:tcPr>
          <w:p w14:paraId="582250CF" w14:textId="77777777" w:rsidR="00FE440E" w:rsidRPr="0002495D" w:rsidRDefault="008C23E3">
            <w:pPr>
              <w:spacing w:after="40"/>
              <w:rPr>
                <w:rFonts w:ascii="Aptos" w:hAnsi="Aptos"/>
                <w:sz w:val="22"/>
              </w:rPr>
            </w:pPr>
            <w:r w:rsidRPr="0002495D">
              <w:rPr>
                <w:rFonts w:ascii="Aptos" w:hAnsi="Aptos"/>
                <w:sz w:val="22"/>
              </w:rPr>
              <w:t>The International Baccalaureate Career-related Programme combines DP subjects, the CP core and career-related studies. Assessment must follow IB requirements and provider expectations for career-related study components.</w:t>
            </w:r>
          </w:p>
        </w:tc>
      </w:tr>
      <w:tr w:rsidR="00FE440E" w:rsidRPr="0002495D" w14:paraId="53BE2F96" w14:textId="77777777">
        <w:trPr>
          <w:jc w:val="center"/>
        </w:trPr>
        <w:tc>
          <w:tcPr>
            <w:tcW w:w="2592" w:type="dxa"/>
          </w:tcPr>
          <w:p w14:paraId="392115E1" w14:textId="77777777" w:rsidR="00FE440E" w:rsidRPr="0002495D" w:rsidRDefault="008C23E3">
            <w:pPr>
              <w:spacing w:after="40"/>
              <w:rPr>
                <w:rFonts w:ascii="Aptos" w:hAnsi="Aptos"/>
                <w:sz w:val="22"/>
              </w:rPr>
            </w:pPr>
            <w:r w:rsidRPr="0002495D">
              <w:rPr>
                <w:rFonts w:ascii="Aptos" w:hAnsi="Aptos"/>
                <w:sz w:val="22"/>
              </w:rPr>
              <w:t>Internal RGSR assessments</w:t>
            </w:r>
          </w:p>
        </w:tc>
        <w:tc>
          <w:tcPr>
            <w:tcW w:w="6768" w:type="dxa"/>
          </w:tcPr>
          <w:p w14:paraId="45511C79" w14:textId="77777777" w:rsidR="00FE440E" w:rsidRPr="0002495D" w:rsidRDefault="008C23E3">
            <w:pPr>
              <w:spacing w:after="40"/>
              <w:rPr>
                <w:rFonts w:ascii="Aptos" w:hAnsi="Aptos"/>
                <w:sz w:val="22"/>
              </w:rPr>
            </w:pPr>
            <w:r w:rsidRPr="0002495D">
              <w:rPr>
                <w:rFonts w:ascii="Aptos" w:hAnsi="Aptos"/>
                <w:sz w:val="22"/>
              </w:rPr>
              <w:t>Internal assessments are used to support teaching, learning, reporting and intervention. They do not replace external examination-board requirements.</w:t>
            </w:r>
          </w:p>
        </w:tc>
      </w:tr>
    </w:tbl>
    <w:p w14:paraId="73526CAC" w14:textId="77777777" w:rsidR="00FE440E" w:rsidRPr="0002495D" w:rsidRDefault="008C23E3">
      <w:pPr>
        <w:pStyle w:val="Heading1"/>
        <w:rPr>
          <w:rFonts w:ascii="Aptos" w:hAnsi="Aptos" w:cstheme="minorBidi"/>
          <w:b w:val="0"/>
          <w:bCs w:val="0"/>
          <w:sz w:val="26"/>
          <w:szCs w:val="26"/>
        </w:rPr>
      </w:pPr>
      <w:r w:rsidRPr="0002495D">
        <w:rPr>
          <w:rFonts w:ascii="Aptos" w:hAnsi="Aptos" w:cstheme="minorBidi"/>
          <w:b w:val="0"/>
          <w:bCs w:val="0"/>
          <w:sz w:val="26"/>
          <w:szCs w:val="26"/>
        </w:rPr>
        <w:t>4. Cambridge International and Pearson Edexcel assessment</w:t>
      </w:r>
    </w:p>
    <w:p w14:paraId="3C1FF7AC" w14:textId="77777777" w:rsidR="00FE440E" w:rsidRPr="0002495D" w:rsidRDefault="008C23E3">
      <w:pPr>
        <w:rPr>
          <w:rFonts w:ascii="Aptos" w:hAnsi="Aptos"/>
          <w:sz w:val="22"/>
        </w:rPr>
      </w:pPr>
      <w:r w:rsidRPr="0002495D">
        <w:rPr>
          <w:rFonts w:ascii="Aptos" w:hAnsi="Aptos"/>
          <w:sz w:val="22"/>
        </w:rPr>
        <w:t>For Cambridge International and Pearson Edexcel courses, assessment is linked to the relevant syllabus, specification and examination-board standards. In examination years, students are expected to become increasingly familiar with official mark schemes, command words, assessment objectives and past-paper expectations.</w:t>
      </w:r>
    </w:p>
    <w:p w14:paraId="316D5E9F" w14:textId="77777777" w:rsidR="00FE440E" w:rsidRPr="0002495D" w:rsidRDefault="008C23E3">
      <w:pPr>
        <w:pStyle w:val="ListBullet"/>
        <w:spacing w:after="40"/>
        <w:rPr>
          <w:rFonts w:ascii="Aptos" w:hAnsi="Aptos"/>
          <w:sz w:val="22"/>
        </w:rPr>
      </w:pPr>
      <w:r w:rsidRPr="0002495D">
        <w:rPr>
          <w:rFonts w:ascii="Aptos" w:hAnsi="Aptos"/>
          <w:sz w:val="22"/>
        </w:rPr>
        <w:t>Internal assessments may include end-of-unit tests, extended writing, practical tasks, coursework-style tasks, skills-based assessments and past-paper practice.</w:t>
      </w:r>
    </w:p>
    <w:p w14:paraId="4BD3CB22" w14:textId="77777777" w:rsidR="00FE440E" w:rsidRPr="0002495D" w:rsidRDefault="008C23E3">
      <w:pPr>
        <w:pStyle w:val="ListBullet"/>
        <w:spacing w:after="40"/>
        <w:rPr>
          <w:rFonts w:ascii="Aptos" w:hAnsi="Aptos"/>
          <w:sz w:val="22"/>
        </w:rPr>
      </w:pPr>
      <w:r w:rsidRPr="0002495D">
        <w:rPr>
          <w:rFonts w:ascii="Aptos" w:hAnsi="Aptos"/>
          <w:sz w:val="22"/>
        </w:rPr>
        <w:lastRenderedPageBreak/>
        <w:t>Mock examinations are used to help estimate readiness for external examinations and identify areas requiring revision or intervention.</w:t>
      </w:r>
    </w:p>
    <w:p w14:paraId="1724BB3C" w14:textId="77777777" w:rsidR="00FE440E" w:rsidRPr="0002495D" w:rsidRDefault="008C23E3">
      <w:pPr>
        <w:pStyle w:val="ListBullet"/>
        <w:spacing w:after="40"/>
        <w:rPr>
          <w:rFonts w:ascii="Aptos" w:hAnsi="Aptos"/>
          <w:sz w:val="22"/>
        </w:rPr>
      </w:pPr>
      <w:r w:rsidRPr="0002495D">
        <w:rPr>
          <w:rFonts w:ascii="Aptos" w:hAnsi="Aptos"/>
          <w:sz w:val="22"/>
        </w:rPr>
        <w:t>External examination entry is subject to school procedures, student readiness, course requirements and awarding-body regulations.</w:t>
      </w:r>
    </w:p>
    <w:p w14:paraId="772FA524" w14:textId="77777777" w:rsidR="00FE440E" w:rsidRPr="0002495D" w:rsidRDefault="008C23E3">
      <w:pPr>
        <w:pStyle w:val="ListBullet"/>
        <w:spacing w:after="40"/>
        <w:rPr>
          <w:rFonts w:ascii="Aptos" w:hAnsi="Aptos"/>
          <w:sz w:val="22"/>
        </w:rPr>
      </w:pPr>
      <w:r w:rsidRPr="0002495D">
        <w:rPr>
          <w:rFonts w:ascii="Aptos" w:hAnsi="Aptos"/>
          <w:sz w:val="22"/>
        </w:rPr>
        <w:t>Where a subject has tiered entry or different routes, the school will consider attainment evidence, teacher judgement and examination-board rules before advising parents.</w:t>
      </w:r>
    </w:p>
    <w:p w14:paraId="79DF46B1" w14:textId="77777777" w:rsidR="00FE440E" w:rsidRPr="0002495D" w:rsidRDefault="008C23E3">
      <w:pPr>
        <w:pStyle w:val="ListBullet"/>
        <w:spacing w:after="40"/>
        <w:rPr>
          <w:rFonts w:ascii="Aptos" w:hAnsi="Aptos"/>
          <w:sz w:val="22"/>
        </w:rPr>
      </w:pPr>
      <w:r w:rsidRPr="0002495D">
        <w:rPr>
          <w:rFonts w:ascii="Aptos" w:hAnsi="Aptos"/>
          <w:sz w:val="22"/>
        </w:rPr>
        <w:t>External examination fees, registration procedures, required documents and deadlines are communicated separately through the relevant school channels.</w:t>
      </w:r>
    </w:p>
    <w:p w14:paraId="05A7F4CF" w14:textId="77777777" w:rsidR="00FE440E" w:rsidRPr="0002495D" w:rsidRDefault="008C23E3">
      <w:pPr>
        <w:pStyle w:val="Heading1"/>
        <w:rPr>
          <w:rFonts w:ascii="Aptos" w:hAnsi="Aptos" w:cstheme="minorBidi"/>
          <w:b w:val="0"/>
          <w:bCs w:val="0"/>
          <w:sz w:val="26"/>
          <w:szCs w:val="26"/>
        </w:rPr>
      </w:pPr>
      <w:r w:rsidRPr="0002495D">
        <w:rPr>
          <w:rFonts w:ascii="Aptos" w:hAnsi="Aptos" w:cstheme="minorBidi"/>
          <w:b w:val="0"/>
          <w:bCs w:val="0"/>
          <w:sz w:val="26"/>
          <w:szCs w:val="26"/>
        </w:rPr>
        <w:t>5. IBCP assessment</w:t>
      </w:r>
    </w:p>
    <w:p w14:paraId="17674A18" w14:textId="77777777" w:rsidR="00FE440E" w:rsidRPr="0002495D" w:rsidRDefault="008C23E3">
      <w:pPr>
        <w:rPr>
          <w:rFonts w:ascii="Aptos" w:hAnsi="Aptos"/>
          <w:sz w:val="22"/>
        </w:rPr>
      </w:pPr>
      <w:r w:rsidRPr="0002495D">
        <w:rPr>
          <w:rFonts w:ascii="Aptos" w:hAnsi="Aptos"/>
          <w:sz w:val="22"/>
        </w:rPr>
        <w:t>The IBCP has specific assessment requirements. Students taking IB Diploma Programme (DP) subjects as part of the IBCP are assessed according to official IB subject guides and assessment criteria. The CP core and career-related studies are also assessed through specified components, evidence and completion requirements.</w:t>
      </w:r>
    </w:p>
    <w:tbl>
      <w:tblPr>
        <w:tblStyle w:val="TableGrid"/>
        <w:tblW w:w="0" w:type="auto"/>
        <w:jc w:val="center"/>
        <w:tblLook w:val="04A0" w:firstRow="1" w:lastRow="0" w:firstColumn="1" w:lastColumn="0" w:noHBand="0" w:noVBand="1"/>
      </w:tblPr>
      <w:tblGrid>
        <w:gridCol w:w="2736"/>
        <w:gridCol w:w="6624"/>
      </w:tblGrid>
      <w:tr w:rsidR="00FE440E" w:rsidRPr="0002495D" w14:paraId="584280C4" w14:textId="77777777">
        <w:trPr>
          <w:jc w:val="center"/>
        </w:trPr>
        <w:tc>
          <w:tcPr>
            <w:tcW w:w="2736" w:type="dxa"/>
            <w:shd w:val="clear" w:color="auto" w:fill="D9EAF7"/>
          </w:tcPr>
          <w:p w14:paraId="70924A97" w14:textId="77777777" w:rsidR="00FE440E" w:rsidRPr="0002495D" w:rsidRDefault="008C23E3">
            <w:pPr>
              <w:spacing w:after="40"/>
              <w:rPr>
                <w:rFonts w:ascii="Aptos" w:hAnsi="Aptos"/>
                <w:sz w:val="22"/>
              </w:rPr>
            </w:pPr>
            <w:r w:rsidRPr="0002495D">
              <w:rPr>
                <w:rFonts w:ascii="Aptos" w:hAnsi="Aptos"/>
                <w:b/>
                <w:sz w:val="22"/>
              </w:rPr>
              <w:t>IBCP area</w:t>
            </w:r>
          </w:p>
        </w:tc>
        <w:tc>
          <w:tcPr>
            <w:tcW w:w="6624" w:type="dxa"/>
            <w:shd w:val="clear" w:color="auto" w:fill="D9EAF7"/>
          </w:tcPr>
          <w:p w14:paraId="374474D2" w14:textId="77777777" w:rsidR="00FE440E" w:rsidRPr="0002495D" w:rsidRDefault="008C23E3">
            <w:pPr>
              <w:spacing w:after="40"/>
              <w:rPr>
                <w:rFonts w:ascii="Aptos" w:hAnsi="Aptos"/>
                <w:sz w:val="22"/>
              </w:rPr>
            </w:pPr>
            <w:r w:rsidRPr="0002495D">
              <w:rPr>
                <w:rFonts w:ascii="Aptos" w:hAnsi="Aptos"/>
                <w:b/>
                <w:sz w:val="22"/>
              </w:rPr>
              <w:t>Parent-facing explanation</w:t>
            </w:r>
          </w:p>
        </w:tc>
      </w:tr>
      <w:tr w:rsidR="00FE440E" w:rsidRPr="0002495D" w14:paraId="394ACF0A" w14:textId="77777777">
        <w:trPr>
          <w:jc w:val="center"/>
        </w:trPr>
        <w:tc>
          <w:tcPr>
            <w:tcW w:w="2736" w:type="dxa"/>
          </w:tcPr>
          <w:p w14:paraId="0A52CF4D" w14:textId="77777777" w:rsidR="00FE440E" w:rsidRPr="0002495D" w:rsidRDefault="008C23E3">
            <w:pPr>
              <w:spacing w:after="40"/>
              <w:rPr>
                <w:rFonts w:ascii="Aptos" w:hAnsi="Aptos"/>
                <w:sz w:val="22"/>
              </w:rPr>
            </w:pPr>
            <w:r w:rsidRPr="0002495D">
              <w:rPr>
                <w:rFonts w:ascii="Aptos" w:hAnsi="Aptos"/>
                <w:sz w:val="22"/>
              </w:rPr>
              <w:t>DP subjects within the IBCP</w:t>
            </w:r>
          </w:p>
        </w:tc>
        <w:tc>
          <w:tcPr>
            <w:tcW w:w="6624" w:type="dxa"/>
          </w:tcPr>
          <w:p w14:paraId="25E76643" w14:textId="77777777" w:rsidR="00FE440E" w:rsidRPr="0002495D" w:rsidRDefault="008C23E3">
            <w:pPr>
              <w:spacing w:after="40"/>
              <w:rPr>
                <w:rFonts w:ascii="Aptos" w:hAnsi="Aptos"/>
                <w:sz w:val="22"/>
              </w:rPr>
            </w:pPr>
            <w:r w:rsidRPr="0002495D">
              <w:rPr>
                <w:rFonts w:ascii="Aptos" w:hAnsi="Aptos"/>
                <w:sz w:val="22"/>
              </w:rPr>
              <w:t>DP subjects are assessed according to IB criteria and subject guides. Assessment may include externally marked examinations, internally assessed work, coursework or other IB-required components. Teachers use IB criteria and grade descriptors to support accurate assessment and predicted grades.</w:t>
            </w:r>
          </w:p>
        </w:tc>
      </w:tr>
      <w:tr w:rsidR="00FE440E" w:rsidRPr="0002495D" w14:paraId="3AF2F767" w14:textId="77777777">
        <w:trPr>
          <w:jc w:val="center"/>
        </w:trPr>
        <w:tc>
          <w:tcPr>
            <w:tcW w:w="2736" w:type="dxa"/>
          </w:tcPr>
          <w:p w14:paraId="05F57D0A" w14:textId="77777777" w:rsidR="00FE440E" w:rsidRPr="0002495D" w:rsidRDefault="008C23E3">
            <w:pPr>
              <w:spacing w:after="40"/>
              <w:rPr>
                <w:rFonts w:ascii="Aptos" w:hAnsi="Aptos"/>
                <w:sz w:val="22"/>
              </w:rPr>
            </w:pPr>
            <w:r w:rsidRPr="0002495D">
              <w:rPr>
                <w:rFonts w:ascii="Aptos" w:hAnsi="Aptos"/>
                <w:sz w:val="22"/>
              </w:rPr>
              <w:t>Internal assessment and moderation</w:t>
            </w:r>
          </w:p>
        </w:tc>
        <w:tc>
          <w:tcPr>
            <w:tcW w:w="6624" w:type="dxa"/>
          </w:tcPr>
          <w:p w14:paraId="35CAAA45" w14:textId="77777777" w:rsidR="00FE440E" w:rsidRPr="0002495D" w:rsidRDefault="008C23E3">
            <w:pPr>
              <w:spacing w:after="40"/>
              <w:rPr>
                <w:rFonts w:ascii="Aptos" w:hAnsi="Aptos"/>
                <w:sz w:val="22"/>
              </w:rPr>
            </w:pPr>
            <w:r w:rsidRPr="0002495D">
              <w:rPr>
                <w:rFonts w:ascii="Aptos" w:hAnsi="Aptos"/>
                <w:sz w:val="22"/>
              </w:rPr>
              <w:t>Where IB internal assessment is required, student work must follow IB rules, including word limits, subject requirements, academic integrity expectations and submission deadlines. Samples may be moderated according to IB procedures.</w:t>
            </w:r>
          </w:p>
        </w:tc>
      </w:tr>
      <w:tr w:rsidR="00FE440E" w:rsidRPr="0002495D" w14:paraId="25CC064D" w14:textId="77777777">
        <w:trPr>
          <w:jc w:val="center"/>
        </w:trPr>
        <w:tc>
          <w:tcPr>
            <w:tcW w:w="2736" w:type="dxa"/>
          </w:tcPr>
          <w:p w14:paraId="1609F832" w14:textId="77777777" w:rsidR="00FE440E" w:rsidRPr="0002495D" w:rsidRDefault="008C23E3">
            <w:pPr>
              <w:spacing w:after="40"/>
              <w:rPr>
                <w:rFonts w:ascii="Aptos" w:hAnsi="Aptos"/>
                <w:sz w:val="22"/>
              </w:rPr>
            </w:pPr>
            <w:r w:rsidRPr="0002495D">
              <w:rPr>
                <w:rFonts w:ascii="Aptos" w:hAnsi="Aptos"/>
                <w:sz w:val="22"/>
              </w:rPr>
              <w:t>Predicted grades</w:t>
            </w:r>
          </w:p>
        </w:tc>
        <w:tc>
          <w:tcPr>
            <w:tcW w:w="6624" w:type="dxa"/>
          </w:tcPr>
          <w:p w14:paraId="17835E79" w14:textId="77777777" w:rsidR="00FE440E" w:rsidRPr="0002495D" w:rsidRDefault="008C23E3">
            <w:pPr>
              <w:spacing w:after="40"/>
              <w:rPr>
                <w:rFonts w:ascii="Aptos" w:hAnsi="Aptos"/>
                <w:sz w:val="22"/>
              </w:rPr>
            </w:pPr>
            <w:r w:rsidRPr="0002495D">
              <w:rPr>
                <w:rFonts w:ascii="Aptos" w:hAnsi="Aptos"/>
                <w:sz w:val="22"/>
              </w:rPr>
              <w:t>Predicted grades are based on evidence of student performance and IB standards. They are entered according to IB deadlines and procedures.</w:t>
            </w:r>
          </w:p>
        </w:tc>
      </w:tr>
      <w:tr w:rsidR="00FE440E" w:rsidRPr="0002495D" w14:paraId="3E4E4A2B" w14:textId="77777777">
        <w:trPr>
          <w:jc w:val="center"/>
        </w:trPr>
        <w:tc>
          <w:tcPr>
            <w:tcW w:w="2736" w:type="dxa"/>
          </w:tcPr>
          <w:p w14:paraId="1F1A703F" w14:textId="77777777" w:rsidR="00FE440E" w:rsidRPr="0002495D" w:rsidRDefault="008C23E3">
            <w:pPr>
              <w:spacing w:after="40"/>
              <w:rPr>
                <w:rFonts w:ascii="Aptos" w:hAnsi="Aptos"/>
                <w:sz w:val="22"/>
              </w:rPr>
            </w:pPr>
            <w:r w:rsidRPr="0002495D">
              <w:rPr>
                <w:rFonts w:ascii="Aptos" w:hAnsi="Aptos"/>
                <w:sz w:val="22"/>
              </w:rPr>
              <w:t>CP core</w:t>
            </w:r>
          </w:p>
        </w:tc>
        <w:tc>
          <w:tcPr>
            <w:tcW w:w="6624" w:type="dxa"/>
          </w:tcPr>
          <w:p w14:paraId="5450E42C" w14:textId="77777777" w:rsidR="00FE440E" w:rsidRPr="0002495D" w:rsidRDefault="008C23E3">
            <w:pPr>
              <w:spacing w:after="40"/>
              <w:rPr>
                <w:rFonts w:ascii="Aptos" w:hAnsi="Aptos"/>
                <w:sz w:val="22"/>
              </w:rPr>
            </w:pPr>
            <w:r w:rsidRPr="0002495D">
              <w:rPr>
                <w:rFonts w:ascii="Aptos" w:hAnsi="Aptos"/>
                <w:sz w:val="22"/>
              </w:rPr>
              <w:t>The CP core includes components such as the Reflective Project, Personal and Professional Skills, Language and Cultural Studies, and Community Engagement. Completion of required CP core components is necessary for the CP award.</w:t>
            </w:r>
          </w:p>
        </w:tc>
      </w:tr>
      <w:tr w:rsidR="00FE440E" w:rsidRPr="0002495D" w14:paraId="64749C7B" w14:textId="77777777">
        <w:trPr>
          <w:jc w:val="center"/>
        </w:trPr>
        <w:tc>
          <w:tcPr>
            <w:tcW w:w="2736" w:type="dxa"/>
          </w:tcPr>
          <w:p w14:paraId="5C8039D2" w14:textId="77777777" w:rsidR="00FE440E" w:rsidRPr="0002495D" w:rsidRDefault="008C23E3">
            <w:pPr>
              <w:spacing w:after="40"/>
              <w:rPr>
                <w:rFonts w:ascii="Aptos" w:hAnsi="Aptos"/>
                <w:sz w:val="22"/>
              </w:rPr>
            </w:pPr>
            <w:r w:rsidRPr="0002495D">
              <w:rPr>
                <w:rFonts w:ascii="Aptos" w:hAnsi="Aptos"/>
                <w:sz w:val="22"/>
              </w:rPr>
              <w:t>Career-related studies</w:t>
            </w:r>
          </w:p>
        </w:tc>
        <w:tc>
          <w:tcPr>
            <w:tcW w:w="6624" w:type="dxa"/>
          </w:tcPr>
          <w:p w14:paraId="3E372433" w14:textId="77777777" w:rsidR="00FE440E" w:rsidRPr="0002495D" w:rsidRDefault="008C23E3">
            <w:pPr>
              <w:spacing w:after="40"/>
              <w:rPr>
                <w:rFonts w:ascii="Aptos" w:hAnsi="Aptos"/>
                <w:sz w:val="22"/>
              </w:rPr>
            </w:pPr>
            <w:r w:rsidRPr="0002495D">
              <w:rPr>
                <w:rFonts w:ascii="Aptos" w:hAnsi="Aptos"/>
                <w:sz w:val="22"/>
              </w:rPr>
              <w:t>Career-related studies are not assessed by the IB in the same way as DP subjects. The school and relevant provider confirm whether students have completed the required components successfully.</w:t>
            </w:r>
          </w:p>
        </w:tc>
      </w:tr>
      <w:tr w:rsidR="00FE440E" w:rsidRPr="0002495D" w14:paraId="2785D2D0" w14:textId="77777777">
        <w:trPr>
          <w:jc w:val="center"/>
        </w:trPr>
        <w:tc>
          <w:tcPr>
            <w:tcW w:w="2736" w:type="dxa"/>
          </w:tcPr>
          <w:p w14:paraId="68A4005C" w14:textId="77777777" w:rsidR="00FE440E" w:rsidRPr="0002495D" w:rsidRDefault="008C23E3">
            <w:pPr>
              <w:spacing w:after="40"/>
              <w:rPr>
                <w:rFonts w:ascii="Aptos" w:hAnsi="Aptos"/>
                <w:sz w:val="22"/>
              </w:rPr>
            </w:pPr>
            <w:r w:rsidRPr="0002495D">
              <w:rPr>
                <w:rFonts w:ascii="Aptos" w:hAnsi="Aptos"/>
                <w:sz w:val="22"/>
              </w:rPr>
              <w:t>Academic honesty</w:t>
            </w:r>
          </w:p>
        </w:tc>
        <w:tc>
          <w:tcPr>
            <w:tcW w:w="6624" w:type="dxa"/>
          </w:tcPr>
          <w:p w14:paraId="76AEB5EA" w14:textId="77777777" w:rsidR="00FE440E" w:rsidRPr="0002495D" w:rsidRDefault="008C23E3">
            <w:pPr>
              <w:spacing w:after="40"/>
              <w:rPr>
                <w:rFonts w:ascii="Aptos" w:hAnsi="Aptos"/>
                <w:sz w:val="22"/>
              </w:rPr>
            </w:pPr>
            <w:r w:rsidRPr="0002495D">
              <w:rPr>
                <w:rFonts w:ascii="Aptos" w:hAnsi="Aptos"/>
                <w:sz w:val="22"/>
              </w:rPr>
              <w:t>All IB work must comply with academic integrity expectations. Suspected malpractice is managed according to school and IB procedures.</w:t>
            </w:r>
          </w:p>
        </w:tc>
      </w:tr>
    </w:tbl>
    <w:p w14:paraId="53F53254" w14:textId="77777777" w:rsidR="00FE440E" w:rsidRPr="0002495D" w:rsidRDefault="00FE440E">
      <w:pPr>
        <w:rPr>
          <w:rFonts w:ascii="Aptos" w:hAnsi="Aptos"/>
          <w:sz w:val="22"/>
        </w:rPr>
      </w:pPr>
    </w:p>
    <w:p w14:paraId="197933EE" w14:textId="77777777" w:rsidR="002E72F8" w:rsidRPr="0002495D" w:rsidRDefault="002E72F8">
      <w:pPr>
        <w:pStyle w:val="Heading1"/>
        <w:rPr>
          <w:rFonts w:ascii="Aptos" w:hAnsi="Aptos" w:cstheme="minorBidi"/>
          <w:sz w:val="22"/>
          <w:szCs w:val="22"/>
        </w:rPr>
      </w:pPr>
    </w:p>
    <w:p w14:paraId="0098A646" w14:textId="3D665289" w:rsidR="00FE440E" w:rsidRPr="0002495D" w:rsidRDefault="008C23E3">
      <w:pPr>
        <w:pStyle w:val="Heading1"/>
        <w:rPr>
          <w:rFonts w:ascii="Aptos" w:hAnsi="Aptos" w:cstheme="minorBidi"/>
          <w:b w:val="0"/>
          <w:bCs w:val="0"/>
          <w:sz w:val="22"/>
          <w:szCs w:val="22"/>
        </w:rPr>
      </w:pPr>
      <w:r w:rsidRPr="0002495D">
        <w:rPr>
          <w:rFonts w:ascii="Aptos" w:hAnsi="Aptos" w:cstheme="minorBidi"/>
          <w:b w:val="0"/>
          <w:bCs w:val="0"/>
          <w:sz w:val="26"/>
          <w:szCs w:val="26"/>
        </w:rPr>
        <w:t>6.</w:t>
      </w:r>
      <w:r w:rsidRPr="0002495D">
        <w:rPr>
          <w:rFonts w:ascii="Aptos" w:hAnsi="Aptos" w:cstheme="minorBidi"/>
          <w:b w:val="0"/>
          <w:bCs w:val="0"/>
          <w:sz w:val="22"/>
          <w:szCs w:val="22"/>
        </w:rPr>
        <w:t xml:space="preserve"> </w:t>
      </w:r>
      <w:r w:rsidRPr="0002495D">
        <w:rPr>
          <w:rFonts w:ascii="Aptos" w:hAnsi="Aptos" w:cstheme="minorBidi"/>
          <w:b w:val="0"/>
          <w:bCs w:val="0"/>
          <w:sz w:val="26"/>
          <w:szCs w:val="26"/>
        </w:rPr>
        <w:t>Career-related studies: SUMAS and WAoS</w:t>
      </w:r>
    </w:p>
    <w:p w14:paraId="7B2F722A" w14:textId="77777777" w:rsidR="00FE440E" w:rsidRPr="0002495D" w:rsidRDefault="008C23E3">
      <w:pPr>
        <w:rPr>
          <w:rFonts w:ascii="Aptos" w:hAnsi="Aptos"/>
          <w:sz w:val="22"/>
        </w:rPr>
      </w:pPr>
      <w:r w:rsidRPr="0002495D">
        <w:rPr>
          <w:rFonts w:ascii="Aptos" w:hAnsi="Aptos"/>
          <w:sz w:val="22"/>
        </w:rPr>
        <w:t>Within the IBCP, RGSR may use career-related study providers such as SUMAS and WAoS, depending on the programme pathway. Assessment structures, deadlines and evidence requirements are shared with students and parents through the relevant school systems.</w:t>
      </w:r>
    </w:p>
    <w:tbl>
      <w:tblPr>
        <w:tblStyle w:val="TableGrid"/>
        <w:tblW w:w="0" w:type="auto"/>
        <w:jc w:val="center"/>
        <w:tblLook w:val="04A0" w:firstRow="1" w:lastRow="0" w:firstColumn="1" w:lastColumn="0" w:noHBand="0" w:noVBand="1"/>
      </w:tblPr>
      <w:tblGrid>
        <w:gridCol w:w="2880"/>
        <w:gridCol w:w="6480"/>
      </w:tblGrid>
      <w:tr w:rsidR="00FE440E" w:rsidRPr="0002495D" w14:paraId="23855FBF" w14:textId="77777777">
        <w:trPr>
          <w:jc w:val="center"/>
        </w:trPr>
        <w:tc>
          <w:tcPr>
            <w:tcW w:w="2880" w:type="dxa"/>
            <w:shd w:val="clear" w:color="auto" w:fill="D9EAF7"/>
          </w:tcPr>
          <w:p w14:paraId="663BB1F0" w14:textId="5C8CA010" w:rsidR="00FE440E" w:rsidRPr="0002495D" w:rsidRDefault="007F00C9">
            <w:pPr>
              <w:spacing w:after="40"/>
              <w:rPr>
                <w:rFonts w:ascii="Aptos" w:hAnsi="Aptos"/>
                <w:sz w:val="22"/>
              </w:rPr>
            </w:pPr>
            <w:r>
              <w:rPr>
                <w:rFonts w:ascii="Aptos" w:hAnsi="Aptos"/>
                <w:b/>
                <w:sz w:val="22"/>
              </w:rPr>
              <w:t>Provider/component</w:t>
            </w:r>
          </w:p>
        </w:tc>
        <w:tc>
          <w:tcPr>
            <w:tcW w:w="6480" w:type="dxa"/>
            <w:shd w:val="clear" w:color="auto" w:fill="D9EAF7"/>
          </w:tcPr>
          <w:p w14:paraId="1B263329" w14:textId="77777777" w:rsidR="00FE440E" w:rsidRPr="0002495D" w:rsidRDefault="008C23E3">
            <w:pPr>
              <w:spacing w:after="40"/>
              <w:rPr>
                <w:rFonts w:ascii="Aptos" w:hAnsi="Aptos"/>
                <w:sz w:val="22"/>
              </w:rPr>
            </w:pPr>
            <w:r w:rsidRPr="0002495D">
              <w:rPr>
                <w:rFonts w:ascii="Aptos" w:hAnsi="Aptos"/>
                <w:b/>
                <w:sz w:val="22"/>
              </w:rPr>
              <w:t>Assessment information for parents</w:t>
            </w:r>
          </w:p>
        </w:tc>
      </w:tr>
      <w:tr w:rsidR="00FE440E" w:rsidRPr="0002495D" w14:paraId="5A14E178" w14:textId="77777777">
        <w:trPr>
          <w:jc w:val="center"/>
        </w:trPr>
        <w:tc>
          <w:tcPr>
            <w:tcW w:w="2880" w:type="dxa"/>
          </w:tcPr>
          <w:p w14:paraId="4EB6F089" w14:textId="77777777" w:rsidR="00FE440E" w:rsidRPr="0002495D" w:rsidRDefault="008C23E3">
            <w:pPr>
              <w:spacing w:after="40"/>
              <w:rPr>
                <w:rFonts w:ascii="Aptos" w:hAnsi="Aptos"/>
                <w:sz w:val="22"/>
              </w:rPr>
            </w:pPr>
            <w:r w:rsidRPr="0002495D">
              <w:rPr>
                <w:rFonts w:ascii="Aptos" w:hAnsi="Aptos"/>
                <w:sz w:val="22"/>
              </w:rPr>
              <w:t>SUMAS</w:t>
            </w:r>
          </w:p>
        </w:tc>
        <w:tc>
          <w:tcPr>
            <w:tcW w:w="6480" w:type="dxa"/>
          </w:tcPr>
          <w:p w14:paraId="5B36A2EA" w14:textId="77777777" w:rsidR="00FE440E" w:rsidRPr="0002495D" w:rsidRDefault="008C23E3">
            <w:pPr>
              <w:spacing w:after="40"/>
              <w:rPr>
                <w:rFonts w:ascii="Aptos" w:hAnsi="Aptos"/>
                <w:sz w:val="22"/>
              </w:rPr>
            </w:pPr>
            <w:r w:rsidRPr="0002495D">
              <w:rPr>
                <w:rFonts w:ascii="Aptos" w:hAnsi="Aptos"/>
                <w:sz w:val="22"/>
              </w:rPr>
              <w:t>SUMAS assessment includes foundation course elements and applied components. Evidence may include written reports, online quizzes, innovation showcases, reflective essays, project work, client presentations and engagement records.</w:t>
            </w:r>
          </w:p>
        </w:tc>
      </w:tr>
      <w:tr w:rsidR="00FE440E" w:rsidRPr="0002495D" w14:paraId="2919495F" w14:textId="77777777">
        <w:trPr>
          <w:jc w:val="center"/>
        </w:trPr>
        <w:tc>
          <w:tcPr>
            <w:tcW w:w="2880" w:type="dxa"/>
          </w:tcPr>
          <w:p w14:paraId="6E1A9919" w14:textId="77777777" w:rsidR="00FE440E" w:rsidRPr="0002495D" w:rsidRDefault="008C23E3">
            <w:pPr>
              <w:spacing w:after="40"/>
              <w:rPr>
                <w:rFonts w:ascii="Aptos" w:hAnsi="Aptos"/>
                <w:sz w:val="22"/>
              </w:rPr>
            </w:pPr>
            <w:r w:rsidRPr="0002495D">
              <w:rPr>
                <w:rFonts w:ascii="Aptos" w:hAnsi="Aptos"/>
                <w:sz w:val="22"/>
              </w:rPr>
              <w:t>WAoS International Sport Management</w:t>
            </w:r>
          </w:p>
        </w:tc>
        <w:tc>
          <w:tcPr>
            <w:tcW w:w="6480" w:type="dxa"/>
          </w:tcPr>
          <w:p w14:paraId="0D70527D" w14:textId="77777777" w:rsidR="00FE440E" w:rsidRPr="0002495D" w:rsidRDefault="008C23E3">
            <w:pPr>
              <w:spacing w:after="40"/>
              <w:rPr>
                <w:rFonts w:ascii="Aptos" w:hAnsi="Aptos"/>
                <w:sz w:val="22"/>
              </w:rPr>
            </w:pPr>
            <w:r w:rsidRPr="0002495D">
              <w:rPr>
                <w:rFonts w:ascii="Aptos" w:hAnsi="Aptos"/>
                <w:sz w:val="22"/>
              </w:rPr>
              <w:t>WAoS assessment may include quizzes, a written report and an interactive oral presentation or discussion. Exact assessment windows are communicated through the school assessment calendar and relevant course platforms.</w:t>
            </w:r>
          </w:p>
        </w:tc>
      </w:tr>
      <w:tr w:rsidR="00FE440E" w:rsidRPr="0002495D" w14:paraId="34CA9CA5" w14:textId="77777777">
        <w:trPr>
          <w:jc w:val="center"/>
        </w:trPr>
        <w:tc>
          <w:tcPr>
            <w:tcW w:w="2880" w:type="dxa"/>
          </w:tcPr>
          <w:p w14:paraId="4A2091AF" w14:textId="77777777" w:rsidR="00FE440E" w:rsidRPr="0002495D" w:rsidRDefault="008C23E3">
            <w:pPr>
              <w:spacing w:after="40"/>
              <w:rPr>
                <w:rFonts w:ascii="Aptos" w:hAnsi="Aptos"/>
                <w:sz w:val="22"/>
              </w:rPr>
            </w:pPr>
            <w:r w:rsidRPr="0002495D">
              <w:rPr>
                <w:rFonts w:ascii="Aptos" w:hAnsi="Aptos"/>
                <w:sz w:val="22"/>
              </w:rPr>
              <w:t>Submission and feedback</w:t>
            </w:r>
          </w:p>
        </w:tc>
        <w:tc>
          <w:tcPr>
            <w:tcW w:w="6480" w:type="dxa"/>
          </w:tcPr>
          <w:p w14:paraId="5E81CE0C" w14:textId="77777777" w:rsidR="00FE440E" w:rsidRPr="0002495D" w:rsidRDefault="008C23E3">
            <w:pPr>
              <w:spacing w:after="40"/>
              <w:rPr>
                <w:rFonts w:ascii="Aptos" w:hAnsi="Aptos"/>
                <w:sz w:val="22"/>
              </w:rPr>
            </w:pPr>
            <w:r w:rsidRPr="0002495D">
              <w:rPr>
                <w:rFonts w:ascii="Aptos" w:hAnsi="Aptos"/>
                <w:sz w:val="22"/>
              </w:rPr>
              <w:t>Submissions may be made through Teams, provider platforms or other agreed systems. Marks and completion information are shared with the IBCP Coordinator and recorded according to school procedures.</w:t>
            </w:r>
          </w:p>
        </w:tc>
      </w:tr>
      <w:tr w:rsidR="00FE440E" w:rsidRPr="0002495D" w14:paraId="65462864" w14:textId="77777777">
        <w:trPr>
          <w:jc w:val="center"/>
        </w:trPr>
        <w:tc>
          <w:tcPr>
            <w:tcW w:w="2880" w:type="dxa"/>
          </w:tcPr>
          <w:p w14:paraId="5BE82A33" w14:textId="77777777" w:rsidR="00FE440E" w:rsidRPr="0002495D" w:rsidRDefault="008C23E3">
            <w:pPr>
              <w:spacing w:after="40"/>
              <w:rPr>
                <w:rFonts w:ascii="Aptos" w:hAnsi="Aptos"/>
                <w:sz w:val="22"/>
              </w:rPr>
            </w:pPr>
            <w:r w:rsidRPr="0002495D">
              <w:rPr>
                <w:rFonts w:ascii="Aptos" w:hAnsi="Aptos"/>
                <w:sz w:val="22"/>
              </w:rPr>
              <w:t>Access arrangements and academic honesty</w:t>
            </w:r>
          </w:p>
        </w:tc>
        <w:tc>
          <w:tcPr>
            <w:tcW w:w="6480" w:type="dxa"/>
          </w:tcPr>
          <w:p w14:paraId="74A7D292" w14:textId="77777777" w:rsidR="00FE440E" w:rsidRPr="0002495D" w:rsidRDefault="008C23E3">
            <w:pPr>
              <w:spacing w:after="40"/>
              <w:rPr>
                <w:rFonts w:ascii="Aptos" w:hAnsi="Aptos"/>
                <w:sz w:val="22"/>
              </w:rPr>
            </w:pPr>
            <w:r w:rsidRPr="0002495D">
              <w:rPr>
                <w:rFonts w:ascii="Aptos" w:hAnsi="Aptos"/>
                <w:sz w:val="22"/>
              </w:rPr>
              <w:t>Approved access arrangements apply where relevant and must reflect the student’s normal way of working. All work must comply with academic honesty expectations.</w:t>
            </w:r>
          </w:p>
        </w:tc>
      </w:tr>
    </w:tbl>
    <w:p w14:paraId="42AA6E94" w14:textId="77777777" w:rsidR="00FE440E" w:rsidRPr="0002495D" w:rsidRDefault="008C23E3">
      <w:pPr>
        <w:pStyle w:val="Heading1"/>
        <w:rPr>
          <w:rFonts w:ascii="Aptos" w:hAnsi="Aptos" w:cstheme="minorBidi"/>
          <w:b w:val="0"/>
          <w:bCs w:val="0"/>
          <w:sz w:val="26"/>
          <w:szCs w:val="26"/>
        </w:rPr>
      </w:pPr>
      <w:r w:rsidRPr="0002495D">
        <w:rPr>
          <w:rFonts w:ascii="Aptos" w:hAnsi="Aptos" w:cstheme="minorBidi"/>
          <w:b w:val="0"/>
          <w:bCs w:val="0"/>
          <w:sz w:val="26"/>
          <w:szCs w:val="26"/>
        </w:rPr>
        <w:t>7. Feedback: what parents can expect</w:t>
      </w:r>
    </w:p>
    <w:p w14:paraId="1F610600" w14:textId="77777777" w:rsidR="00FE440E" w:rsidRPr="0002495D" w:rsidRDefault="008C23E3">
      <w:pPr>
        <w:rPr>
          <w:rFonts w:ascii="Aptos" w:hAnsi="Aptos"/>
          <w:sz w:val="22"/>
        </w:rPr>
      </w:pPr>
      <w:r w:rsidRPr="0002495D">
        <w:rPr>
          <w:rFonts w:ascii="Aptos" w:hAnsi="Aptos"/>
          <w:sz w:val="22"/>
        </w:rPr>
        <w:t>Feedback at RGSR is designed to help students understand what they have done well, what needs to improve, and what they should do next. Feedback may be written, oral, digital, peer-based, self-reflective or rubric-based.</w:t>
      </w:r>
    </w:p>
    <w:p w14:paraId="682FE67E" w14:textId="77777777" w:rsidR="00FE440E" w:rsidRPr="0002495D" w:rsidRDefault="008C23E3">
      <w:pPr>
        <w:pStyle w:val="ListBullet"/>
        <w:spacing w:after="40"/>
        <w:rPr>
          <w:rFonts w:ascii="Aptos" w:hAnsi="Aptos"/>
          <w:sz w:val="22"/>
        </w:rPr>
      </w:pPr>
      <w:r w:rsidRPr="0002495D">
        <w:rPr>
          <w:rFonts w:ascii="Aptos" w:hAnsi="Aptos"/>
          <w:sz w:val="22"/>
        </w:rPr>
        <w:t>Feedback should be specific, constructive and linked to learning objectives, success criteria or examination-board standards.</w:t>
      </w:r>
    </w:p>
    <w:p w14:paraId="10AA6E55" w14:textId="77777777" w:rsidR="00FE440E" w:rsidRPr="0002495D" w:rsidRDefault="008C23E3">
      <w:pPr>
        <w:pStyle w:val="ListBullet"/>
        <w:spacing w:after="40"/>
        <w:rPr>
          <w:rFonts w:ascii="Aptos" w:hAnsi="Aptos"/>
          <w:sz w:val="22"/>
        </w:rPr>
      </w:pPr>
      <w:r w:rsidRPr="0002495D">
        <w:rPr>
          <w:rFonts w:ascii="Aptos" w:hAnsi="Aptos"/>
          <w:sz w:val="22"/>
        </w:rPr>
        <w:t>Students may be expected to correct, redraft, improve or reflect on work after receiving feedback.</w:t>
      </w:r>
    </w:p>
    <w:p w14:paraId="75575E56" w14:textId="77777777" w:rsidR="00FE440E" w:rsidRPr="0002495D" w:rsidRDefault="008C23E3">
      <w:pPr>
        <w:pStyle w:val="ListBullet"/>
        <w:spacing w:after="40"/>
        <w:rPr>
          <w:rFonts w:ascii="Aptos" w:hAnsi="Aptos"/>
          <w:sz w:val="22"/>
        </w:rPr>
      </w:pPr>
      <w:r w:rsidRPr="0002495D">
        <w:rPr>
          <w:rFonts w:ascii="Aptos" w:hAnsi="Aptos"/>
          <w:sz w:val="22"/>
        </w:rPr>
        <w:t>In Years 7-9, feedback is mainly formative; marks are normally shared for summative tasks.</w:t>
      </w:r>
    </w:p>
    <w:p w14:paraId="33CAF092" w14:textId="77777777" w:rsidR="00FE440E" w:rsidRPr="0002495D" w:rsidRDefault="008C23E3">
      <w:pPr>
        <w:pStyle w:val="ListBullet"/>
        <w:spacing w:after="40"/>
        <w:rPr>
          <w:rFonts w:ascii="Aptos" w:hAnsi="Aptos"/>
          <w:sz w:val="22"/>
        </w:rPr>
      </w:pPr>
      <w:r w:rsidRPr="0002495D">
        <w:rPr>
          <w:rFonts w:ascii="Aptos" w:hAnsi="Aptos"/>
          <w:sz w:val="22"/>
        </w:rPr>
        <w:t>In Years 10-13, feedback becomes increasingly linked to IGCSE, A Level, IB or other external course requirements.</w:t>
      </w:r>
    </w:p>
    <w:p w14:paraId="0B7BD71A" w14:textId="77777777" w:rsidR="00FE440E" w:rsidRPr="0002495D" w:rsidRDefault="008C23E3">
      <w:pPr>
        <w:pStyle w:val="ListBullet"/>
        <w:spacing w:after="40"/>
        <w:rPr>
          <w:rFonts w:ascii="Aptos" w:hAnsi="Aptos"/>
          <w:sz w:val="22"/>
        </w:rPr>
      </w:pPr>
      <w:r w:rsidRPr="0002495D">
        <w:rPr>
          <w:rFonts w:ascii="Aptos" w:hAnsi="Aptos"/>
          <w:sz w:val="22"/>
        </w:rPr>
        <w:t>For IBCP and IB DP subjects, feedback must remain consistent with IB rules, particularly where work contributes to formal assessment.</w:t>
      </w:r>
    </w:p>
    <w:p w14:paraId="28F7AD8E" w14:textId="77777777" w:rsidR="00FE440E" w:rsidRPr="0002495D" w:rsidRDefault="008C23E3">
      <w:pPr>
        <w:pStyle w:val="Heading1"/>
        <w:rPr>
          <w:rFonts w:ascii="Aptos" w:hAnsi="Aptos" w:cstheme="minorBidi"/>
          <w:b w:val="0"/>
          <w:bCs w:val="0"/>
          <w:sz w:val="26"/>
          <w:szCs w:val="26"/>
        </w:rPr>
      </w:pPr>
      <w:r w:rsidRPr="0002495D">
        <w:rPr>
          <w:rFonts w:ascii="Aptos" w:hAnsi="Aptos" w:cstheme="minorBidi"/>
          <w:b w:val="0"/>
          <w:bCs w:val="0"/>
          <w:sz w:val="26"/>
          <w:szCs w:val="26"/>
        </w:rPr>
        <w:t>8. Marking and student response</w:t>
      </w:r>
    </w:p>
    <w:p w14:paraId="40C9E166" w14:textId="77777777" w:rsidR="00FE440E" w:rsidRPr="0002495D" w:rsidRDefault="008C23E3">
      <w:pPr>
        <w:rPr>
          <w:rFonts w:ascii="Aptos" w:hAnsi="Aptos"/>
          <w:sz w:val="22"/>
        </w:rPr>
      </w:pPr>
      <w:r w:rsidRPr="0002495D">
        <w:rPr>
          <w:rFonts w:ascii="Aptos" w:hAnsi="Aptos"/>
          <w:sz w:val="22"/>
        </w:rPr>
        <w:t>Students are expected to engage actively with feedback. Parents can support this by discussing feedback with their child and asking what action they will take to improve. RGSR may use marking conventions such as teacher feedback in red, student improvement work in purple, and literacy codes for spelling, grammar, punctuation or paragraphing, where appropriate.</w:t>
      </w:r>
    </w:p>
    <w:p w14:paraId="1BD8E478" w14:textId="77777777" w:rsidR="00FE440E" w:rsidRPr="0002495D" w:rsidRDefault="008C23E3">
      <w:pPr>
        <w:pStyle w:val="Heading1"/>
        <w:rPr>
          <w:rFonts w:ascii="Aptos" w:hAnsi="Aptos" w:cstheme="minorBidi"/>
          <w:b w:val="0"/>
          <w:bCs w:val="0"/>
          <w:sz w:val="26"/>
          <w:szCs w:val="26"/>
        </w:rPr>
      </w:pPr>
      <w:r w:rsidRPr="0002495D">
        <w:rPr>
          <w:rFonts w:ascii="Aptos" w:hAnsi="Aptos" w:cstheme="minorBidi"/>
          <w:b w:val="0"/>
          <w:bCs w:val="0"/>
          <w:sz w:val="26"/>
          <w:szCs w:val="26"/>
        </w:rPr>
        <w:lastRenderedPageBreak/>
        <w:t>9. Internal, mock and external examinations</w:t>
      </w:r>
    </w:p>
    <w:tbl>
      <w:tblPr>
        <w:tblStyle w:val="TableGrid"/>
        <w:tblW w:w="0" w:type="auto"/>
        <w:jc w:val="center"/>
        <w:tblLook w:val="04A0" w:firstRow="1" w:lastRow="0" w:firstColumn="1" w:lastColumn="0" w:noHBand="0" w:noVBand="1"/>
      </w:tblPr>
      <w:tblGrid>
        <w:gridCol w:w="2592"/>
        <w:gridCol w:w="6768"/>
      </w:tblGrid>
      <w:tr w:rsidR="00FE440E" w:rsidRPr="0002495D" w14:paraId="5F429F71" w14:textId="77777777">
        <w:trPr>
          <w:jc w:val="center"/>
        </w:trPr>
        <w:tc>
          <w:tcPr>
            <w:tcW w:w="2592" w:type="dxa"/>
            <w:shd w:val="clear" w:color="auto" w:fill="D9EAF7"/>
          </w:tcPr>
          <w:p w14:paraId="6AC17DF9" w14:textId="0C779654" w:rsidR="00FE440E" w:rsidRPr="0002495D" w:rsidRDefault="008C23E3">
            <w:pPr>
              <w:spacing w:after="40"/>
              <w:rPr>
                <w:rFonts w:ascii="Aptos" w:hAnsi="Aptos"/>
                <w:sz w:val="22"/>
              </w:rPr>
            </w:pPr>
            <w:r w:rsidRPr="0002495D">
              <w:rPr>
                <w:rFonts w:ascii="Aptos" w:hAnsi="Aptos"/>
                <w:b/>
                <w:sz w:val="22"/>
              </w:rPr>
              <w:t xml:space="preserve">Year </w:t>
            </w:r>
            <w:r w:rsidR="007F00C9">
              <w:rPr>
                <w:rFonts w:ascii="Aptos" w:hAnsi="Aptos"/>
                <w:b/>
                <w:sz w:val="22"/>
              </w:rPr>
              <w:t>group/course</w:t>
            </w:r>
          </w:p>
        </w:tc>
        <w:tc>
          <w:tcPr>
            <w:tcW w:w="6768" w:type="dxa"/>
            <w:shd w:val="clear" w:color="auto" w:fill="D9EAF7"/>
          </w:tcPr>
          <w:p w14:paraId="1C0AA402" w14:textId="77777777" w:rsidR="00FE440E" w:rsidRPr="0002495D" w:rsidRDefault="008C23E3">
            <w:pPr>
              <w:spacing w:after="40"/>
              <w:rPr>
                <w:rFonts w:ascii="Aptos" w:hAnsi="Aptos"/>
                <w:sz w:val="22"/>
              </w:rPr>
            </w:pPr>
            <w:r w:rsidRPr="0002495D">
              <w:rPr>
                <w:rFonts w:ascii="Aptos" w:hAnsi="Aptos"/>
                <w:b/>
                <w:sz w:val="22"/>
              </w:rPr>
              <w:t>Typical assessment or examination pattern</w:t>
            </w:r>
          </w:p>
        </w:tc>
      </w:tr>
      <w:tr w:rsidR="00FE440E" w:rsidRPr="0002495D" w14:paraId="3BD5BF08" w14:textId="77777777">
        <w:trPr>
          <w:jc w:val="center"/>
        </w:trPr>
        <w:tc>
          <w:tcPr>
            <w:tcW w:w="2592" w:type="dxa"/>
          </w:tcPr>
          <w:p w14:paraId="19EB8D2B" w14:textId="77777777" w:rsidR="00FE440E" w:rsidRPr="0002495D" w:rsidRDefault="008C23E3">
            <w:pPr>
              <w:spacing w:after="40"/>
              <w:rPr>
                <w:rFonts w:ascii="Aptos" w:hAnsi="Aptos"/>
                <w:sz w:val="22"/>
              </w:rPr>
            </w:pPr>
            <w:r w:rsidRPr="0002495D">
              <w:rPr>
                <w:rFonts w:ascii="Aptos" w:hAnsi="Aptos"/>
                <w:sz w:val="22"/>
              </w:rPr>
              <w:t>Years 7-9</w:t>
            </w:r>
          </w:p>
        </w:tc>
        <w:tc>
          <w:tcPr>
            <w:tcW w:w="6768" w:type="dxa"/>
          </w:tcPr>
          <w:p w14:paraId="7C93594C" w14:textId="77777777" w:rsidR="00FE440E" w:rsidRPr="0002495D" w:rsidRDefault="008C23E3">
            <w:pPr>
              <w:spacing w:after="40"/>
              <w:rPr>
                <w:rFonts w:ascii="Aptos" w:hAnsi="Aptos"/>
                <w:sz w:val="22"/>
              </w:rPr>
            </w:pPr>
            <w:r w:rsidRPr="0002495D">
              <w:rPr>
                <w:rFonts w:ascii="Aptos" w:hAnsi="Aptos"/>
                <w:sz w:val="22"/>
              </w:rPr>
              <w:t>End-of-year examinations normally take place in English, Mathematics and Science. Other subjects use internal assessment evidence according to the school reporting structure.</w:t>
            </w:r>
          </w:p>
        </w:tc>
      </w:tr>
      <w:tr w:rsidR="00FE440E" w:rsidRPr="0002495D" w14:paraId="7B772C45" w14:textId="77777777">
        <w:trPr>
          <w:jc w:val="center"/>
        </w:trPr>
        <w:tc>
          <w:tcPr>
            <w:tcW w:w="2592" w:type="dxa"/>
          </w:tcPr>
          <w:p w14:paraId="120E6AA7" w14:textId="77777777" w:rsidR="00FE440E" w:rsidRPr="0002495D" w:rsidRDefault="008C23E3">
            <w:pPr>
              <w:spacing w:after="40"/>
              <w:rPr>
                <w:rFonts w:ascii="Aptos" w:hAnsi="Aptos"/>
                <w:sz w:val="22"/>
              </w:rPr>
            </w:pPr>
            <w:r w:rsidRPr="0002495D">
              <w:rPr>
                <w:rFonts w:ascii="Aptos" w:hAnsi="Aptos"/>
                <w:sz w:val="22"/>
              </w:rPr>
              <w:t>Year 10</w:t>
            </w:r>
          </w:p>
        </w:tc>
        <w:tc>
          <w:tcPr>
            <w:tcW w:w="6768" w:type="dxa"/>
          </w:tcPr>
          <w:p w14:paraId="4E1E4CDA" w14:textId="77777777" w:rsidR="00FE440E" w:rsidRPr="0002495D" w:rsidRDefault="008C23E3">
            <w:pPr>
              <w:spacing w:after="40"/>
              <w:rPr>
                <w:rFonts w:ascii="Aptos" w:hAnsi="Aptos"/>
                <w:sz w:val="22"/>
              </w:rPr>
            </w:pPr>
            <w:r w:rsidRPr="0002495D">
              <w:rPr>
                <w:rFonts w:ascii="Aptos" w:hAnsi="Aptos"/>
                <w:sz w:val="22"/>
              </w:rPr>
              <w:t>End-of-year examinations take place in IGCSE subjects. Year 10 may also complete a Mathematics mock examination and, where applicable, external Mathematics examinations.</w:t>
            </w:r>
          </w:p>
        </w:tc>
      </w:tr>
      <w:tr w:rsidR="00FE440E" w:rsidRPr="0002495D" w14:paraId="6671E730" w14:textId="77777777">
        <w:trPr>
          <w:jc w:val="center"/>
        </w:trPr>
        <w:tc>
          <w:tcPr>
            <w:tcW w:w="2592" w:type="dxa"/>
          </w:tcPr>
          <w:p w14:paraId="25EA548B" w14:textId="77777777" w:rsidR="00FE440E" w:rsidRPr="0002495D" w:rsidRDefault="008C23E3">
            <w:pPr>
              <w:spacing w:after="40"/>
              <w:rPr>
                <w:rFonts w:ascii="Aptos" w:hAnsi="Aptos"/>
                <w:sz w:val="22"/>
              </w:rPr>
            </w:pPr>
            <w:r w:rsidRPr="0002495D">
              <w:rPr>
                <w:rFonts w:ascii="Aptos" w:hAnsi="Aptos"/>
                <w:sz w:val="22"/>
              </w:rPr>
              <w:t>Years 11-13</w:t>
            </w:r>
          </w:p>
        </w:tc>
        <w:tc>
          <w:tcPr>
            <w:tcW w:w="6768" w:type="dxa"/>
          </w:tcPr>
          <w:p w14:paraId="29BA2D8B" w14:textId="77777777" w:rsidR="00FE440E" w:rsidRPr="0002495D" w:rsidRDefault="008C23E3">
            <w:pPr>
              <w:spacing w:after="40"/>
              <w:rPr>
                <w:rFonts w:ascii="Aptos" w:hAnsi="Aptos"/>
                <w:sz w:val="22"/>
              </w:rPr>
            </w:pPr>
            <w:r w:rsidRPr="0002495D">
              <w:rPr>
                <w:rFonts w:ascii="Aptos" w:hAnsi="Aptos"/>
                <w:sz w:val="22"/>
              </w:rPr>
              <w:t>Students complete external examinations according to Cambridge International, Pearson Edexcel, IB or other relevant awarding-body requirements. Mock examinations are normally held in January.</w:t>
            </w:r>
          </w:p>
        </w:tc>
      </w:tr>
      <w:tr w:rsidR="00FE440E" w:rsidRPr="0002495D" w14:paraId="7922294A" w14:textId="77777777">
        <w:trPr>
          <w:jc w:val="center"/>
        </w:trPr>
        <w:tc>
          <w:tcPr>
            <w:tcW w:w="2592" w:type="dxa"/>
          </w:tcPr>
          <w:p w14:paraId="3ABF1765" w14:textId="77777777" w:rsidR="00FE440E" w:rsidRPr="0002495D" w:rsidRDefault="008C23E3">
            <w:pPr>
              <w:spacing w:after="40"/>
              <w:rPr>
                <w:rFonts w:ascii="Aptos" w:hAnsi="Aptos"/>
                <w:sz w:val="22"/>
              </w:rPr>
            </w:pPr>
            <w:r w:rsidRPr="0002495D">
              <w:rPr>
                <w:rFonts w:ascii="Aptos" w:hAnsi="Aptos"/>
                <w:sz w:val="22"/>
              </w:rPr>
              <w:t>IBCP students</w:t>
            </w:r>
          </w:p>
        </w:tc>
        <w:tc>
          <w:tcPr>
            <w:tcW w:w="6768" w:type="dxa"/>
          </w:tcPr>
          <w:p w14:paraId="4FF15A4D" w14:textId="77777777" w:rsidR="00FE440E" w:rsidRPr="0002495D" w:rsidRDefault="008C23E3">
            <w:pPr>
              <w:spacing w:after="40"/>
              <w:rPr>
                <w:rFonts w:ascii="Aptos" w:hAnsi="Aptos"/>
                <w:sz w:val="22"/>
              </w:rPr>
            </w:pPr>
            <w:r w:rsidRPr="0002495D">
              <w:rPr>
                <w:rFonts w:ascii="Aptos" w:hAnsi="Aptos"/>
                <w:sz w:val="22"/>
              </w:rPr>
              <w:t>Students follow assessment requirements for DP subjects, CP core components and career-related studies. Some assessment is externally examined or externally moderated; other elements are internally assessed or provider assessed.</w:t>
            </w:r>
          </w:p>
        </w:tc>
      </w:tr>
    </w:tbl>
    <w:p w14:paraId="2E96FC9C" w14:textId="77777777" w:rsidR="00FE440E" w:rsidRPr="0002495D" w:rsidRDefault="00FE440E">
      <w:pPr>
        <w:rPr>
          <w:rFonts w:ascii="Aptos" w:hAnsi="Aptos"/>
          <w:sz w:val="22"/>
        </w:rPr>
      </w:pPr>
    </w:p>
    <w:p w14:paraId="7165C8E8" w14:textId="77777777" w:rsidR="00FE440E" w:rsidRPr="0002495D" w:rsidRDefault="008C23E3">
      <w:pPr>
        <w:rPr>
          <w:rFonts w:ascii="Aptos" w:hAnsi="Aptos"/>
          <w:sz w:val="22"/>
        </w:rPr>
      </w:pPr>
      <w:r w:rsidRPr="0002495D">
        <w:rPr>
          <w:rFonts w:ascii="Aptos" w:hAnsi="Aptos"/>
          <w:sz w:val="22"/>
        </w:rPr>
        <w:t>The scope for internal examinations is normally shared with students approximately one month before the examination period. External examinations are administered in line with the school Examinations Policy and the requirements of the relevant awarding body.</w:t>
      </w:r>
    </w:p>
    <w:p w14:paraId="68D95D1F" w14:textId="77777777" w:rsidR="00FE440E" w:rsidRPr="0002495D" w:rsidRDefault="008C23E3">
      <w:pPr>
        <w:pStyle w:val="Heading1"/>
        <w:rPr>
          <w:rFonts w:ascii="Aptos" w:hAnsi="Aptos" w:cstheme="minorBidi"/>
          <w:b w:val="0"/>
          <w:bCs w:val="0"/>
          <w:sz w:val="26"/>
          <w:szCs w:val="26"/>
        </w:rPr>
      </w:pPr>
      <w:r w:rsidRPr="0002495D">
        <w:rPr>
          <w:rFonts w:ascii="Aptos" w:hAnsi="Aptos" w:cstheme="minorBidi"/>
          <w:b w:val="0"/>
          <w:bCs w:val="0"/>
          <w:sz w:val="26"/>
          <w:szCs w:val="26"/>
        </w:rPr>
        <w:t>10. External examination entry and readiness</w:t>
      </w:r>
    </w:p>
    <w:p w14:paraId="2D98DE12" w14:textId="5D734667" w:rsidR="00B42BE1" w:rsidRPr="0002495D" w:rsidRDefault="00B42BE1" w:rsidP="00B42BE1">
      <w:pPr>
        <w:rPr>
          <w:rFonts w:ascii="Aptos" w:hAnsi="Aptos"/>
          <w:sz w:val="22"/>
        </w:rPr>
      </w:pPr>
      <w:r w:rsidRPr="0002495D">
        <w:rPr>
          <w:rFonts w:ascii="Aptos" w:hAnsi="Aptos"/>
          <w:sz w:val="22"/>
        </w:rPr>
        <w:t xml:space="preserve">External examination entry decisions are based on course requirements, student readiness, attainment evidence, teacher judgement and awarding-body regulations. The school will advise parents on the most appropriate examination entry route based on evidence of student readiness, course requirements, teacher judgement and awarding-body regulations, including where a student may not yet be ready for a particular external route and where alternative arrangements may apply. </w:t>
      </w:r>
    </w:p>
    <w:p w14:paraId="3BC93A64" w14:textId="77777777" w:rsidR="00FE440E" w:rsidRPr="0002495D" w:rsidRDefault="008C23E3">
      <w:pPr>
        <w:pStyle w:val="ListBullet"/>
        <w:spacing w:after="40"/>
        <w:rPr>
          <w:rFonts w:ascii="Aptos" w:hAnsi="Aptos"/>
          <w:sz w:val="22"/>
        </w:rPr>
      </w:pPr>
      <w:r w:rsidRPr="0002495D">
        <w:rPr>
          <w:rFonts w:ascii="Aptos" w:hAnsi="Aptos"/>
          <w:sz w:val="22"/>
        </w:rPr>
        <w:t>For Science and Mathematics courses with Core and Extended routes, school recommendations may consider whether a student is best suited to Core, Extended or an alternative entry route.</w:t>
      </w:r>
    </w:p>
    <w:p w14:paraId="31D1D463" w14:textId="77777777" w:rsidR="00FE440E" w:rsidRPr="0002495D" w:rsidRDefault="008C23E3">
      <w:pPr>
        <w:pStyle w:val="ListBullet"/>
        <w:spacing w:after="40"/>
        <w:rPr>
          <w:rFonts w:ascii="Aptos" w:hAnsi="Aptos"/>
          <w:sz w:val="22"/>
        </w:rPr>
      </w:pPr>
      <w:r w:rsidRPr="0002495D">
        <w:rPr>
          <w:rFonts w:ascii="Aptos" w:hAnsi="Aptos"/>
          <w:sz w:val="22"/>
        </w:rPr>
        <w:t>For subjects without a Core option, the school may recommend external entry only where attainment evidence indicates suitable readiness.</w:t>
      </w:r>
    </w:p>
    <w:p w14:paraId="59CDAD6F" w14:textId="77777777" w:rsidR="00FE440E" w:rsidRPr="0002495D" w:rsidRDefault="008C23E3">
      <w:pPr>
        <w:pStyle w:val="ListBullet"/>
        <w:spacing w:after="40"/>
        <w:rPr>
          <w:rFonts w:ascii="Aptos" w:hAnsi="Aptos"/>
          <w:sz w:val="22"/>
        </w:rPr>
      </w:pPr>
      <w:r w:rsidRPr="0002495D">
        <w:rPr>
          <w:rFonts w:ascii="Aptos" w:hAnsi="Aptos"/>
          <w:sz w:val="22"/>
        </w:rPr>
        <w:t>Where school entry is not recommended, parents may be advised about private candidate options, where available and appropriate.</w:t>
      </w:r>
    </w:p>
    <w:p w14:paraId="42836280" w14:textId="77777777" w:rsidR="00FE440E" w:rsidRPr="0002495D" w:rsidRDefault="008C23E3">
      <w:pPr>
        <w:pStyle w:val="ListBullet"/>
        <w:spacing w:after="40"/>
        <w:rPr>
          <w:rFonts w:ascii="Aptos" w:hAnsi="Aptos"/>
          <w:sz w:val="22"/>
        </w:rPr>
      </w:pPr>
      <w:r w:rsidRPr="0002495D">
        <w:rPr>
          <w:rFonts w:ascii="Aptos" w:hAnsi="Aptos"/>
          <w:sz w:val="22"/>
        </w:rPr>
        <w:t>Examination-board fees are subject to change and are communicated separately by the school.</w:t>
      </w:r>
    </w:p>
    <w:p w14:paraId="29C31B77" w14:textId="77777777" w:rsidR="002E72F8" w:rsidRPr="0002495D" w:rsidRDefault="002E72F8">
      <w:pPr>
        <w:pStyle w:val="Heading1"/>
        <w:rPr>
          <w:rFonts w:ascii="Aptos" w:hAnsi="Aptos" w:cstheme="minorBidi"/>
          <w:b w:val="0"/>
          <w:bCs w:val="0"/>
          <w:sz w:val="26"/>
          <w:szCs w:val="26"/>
        </w:rPr>
      </w:pPr>
    </w:p>
    <w:p w14:paraId="7B881EA4" w14:textId="77777777" w:rsidR="002E72F8" w:rsidRPr="0002495D" w:rsidRDefault="002E72F8">
      <w:pPr>
        <w:pStyle w:val="Heading1"/>
        <w:rPr>
          <w:rFonts w:ascii="Aptos" w:hAnsi="Aptos" w:cstheme="minorBidi"/>
          <w:b w:val="0"/>
          <w:bCs w:val="0"/>
          <w:sz w:val="26"/>
          <w:szCs w:val="26"/>
        </w:rPr>
      </w:pPr>
    </w:p>
    <w:p w14:paraId="4566A6E9" w14:textId="3D01723B" w:rsidR="00FE440E" w:rsidRPr="0002495D" w:rsidRDefault="008C23E3">
      <w:pPr>
        <w:pStyle w:val="Heading1"/>
        <w:rPr>
          <w:rFonts w:ascii="Aptos" w:hAnsi="Aptos" w:cstheme="minorBidi"/>
          <w:b w:val="0"/>
          <w:bCs w:val="0"/>
          <w:sz w:val="26"/>
          <w:szCs w:val="26"/>
        </w:rPr>
      </w:pPr>
      <w:r w:rsidRPr="0002495D">
        <w:rPr>
          <w:rFonts w:ascii="Aptos" w:hAnsi="Aptos" w:cstheme="minorBidi"/>
          <w:b w:val="0"/>
          <w:bCs w:val="0"/>
          <w:sz w:val="26"/>
          <w:szCs w:val="26"/>
        </w:rPr>
        <w:t>11. Reporting to parents</w:t>
      </w:r>
    </w:p>
    <w:p w14:paraId="0E1E0D64" w14:textId="77777777" w:rsidR="00FE440E" w:rsidRPr="0002495D" w:rsidRDefault="008C23E3">
      <w:pPr>
        <w:rPr>
          <w:rFonts w:ascii="Aptos" w:hAnsi="Aptos"/>
          <w:sz w:val="22"/>
        </w:rPr>
      </w:pPr>
      <w:r w:rsidRPr="0002495D">
        <w:rPr>
          <w:rFonts w:ascii="Aptos" w:hAnsi="Aptos"/>
          <w:sz w:val="22"/>
        </w:rPr>
        <w:t>Formal reports are shared with parents through the iSAMS Parent Portal. Reports may include attainment grades, percentages, progress information, effort or engagement indicators, and/or written comments, depending on the reporting cycle and year group.</w:t>
      </w:r>
    </w:p>
    <w:tbl>
      <w:tblPr>
        <w:tblStyle w:val="TableGrid"/>
        <w:tblW w:w="0" w:type="auto"/>
        <w:jc w:val="center"/>
        <w:tblLook w:val="04A0" w:firstRow="1" w:lastRow="0" w:firstColumn="1" w:lastColumn="0" w:noHBand="0" w:noVBand="1"/>
      </w:tblPr>
      <w:tblGrid>
        <w:gridCol w:w="2016"/>
        <w:gridCol w:w="7344"/>
      </w:tblGrid>
      <w:tr w:rsidR="00FE440E" w:rsidRPr="0002495D" w14:paraId="47232A3C" w14:textId="77777777">
        <w:trPr>
          <w:jc w:val="center"/>
        </w:trPr>
        <w:tc>
          <w:tcPr>
            <w:tcW w:w="2016" w:type="dxa"/>
            <w:shd w:val="clear" w:color="auto" w:fill="D9EAF7"/>
          </w:tcPr>
          <w:p w14:paraId="31F47984" w14:textId="77777777" w:rsidR="00FE440E" w:rsidRPr="0002495D" w:rsidRDefault="008C23E3">
            <w:pPr>
              <w:spacing w:after="40"/>
              <w:rPr>
                <w:rFonts w:ascii="Aptos" w:hAnsi="Aptos"/>
                <w:sz w:val="22"/>
              </w:rPr>
            </w:pPr>
            <w:r w:rsidRPr="0002495D">
              <w:rPr>
                <w:rFonts w:ascii="Aptos" w:hAnsi="Aptos"/>
                <w:b/>
                <w:sz w:val="22"/>
              </w:rPr>
              <w:t>Year group</w:t>
            </w:r>
          </w:p>
        </w:tc>
        <w:tc>
          <w:tcPr>
            <w:tcW w:w="7344" w:type="dxa"/>
            <w:shd w:val="clear" w:color="auto" w:fill="D9EAF7"/>
          </w:tcPr>
          <w:p w14:paraId="0AE67BAC" w14:textId="77777777" w:rsidR="00FE440E" w:rsidRPr="0002495D" w:rsidRDefault="008C23E3">
            <w:pPr>
              <w:spacing w:after="40"/>
              <w:rPr>
                <w:rFonts w:ascii="Aptos" w:hAnsi="Aptos"/>
                <w:sz w:val="22"/>
              </w:rPr>
            </w:pPr>
            <w:r w:rsidRPr="0002495D">
              <w:rPr>
                <w:rFonts w:ascii="Aptos" w:hAnsi="Aptos"/>
                <w:b/>
                <w:sz w:val="22"/>
              </w:rPr>
              <w:t>Reporting summary</w:t>
            </w:r>
          </w:p>
        </w:tc>
      </w:tr>
      <w:tr w:rsidR="00FE440E" w:rsidRPr="0002495D" w14:paraId="34B08BDA" w14:textId="77777777">
        <w:trPr>
          <w:jc w:val="center"/>
        </w:trPr>
        <w:tc>
          <w:tcPr>
            <w:tcW w:w="2016" w:type="dxa"/>
          </w:tcPr>
          <w:p w14:paraId="2B1814D8" w14:textId="77777777" w:rsidR="00FE440E" w:rsidRPr="0002495D" w:rsidRDefault="008C23E3">
            <w:pPr>
              <w:spacing w:after="40"/>
              <w:rPr>
                <w:rFonts w:ascii="Aptos" w:hAnsi="Aptos"/>
                <w:sz w:val="22"/>
              </w:rPr>
            </w:pPr>
            <w:r w:rsidRPr="0002495D">
              <w:rPr>
                <w:rFonts w:ascii="Aptos" w:hAnsi="Aptos"/>
                <w:sz w:val="22"/>
              </w:rPr>
              <w:t>Years 7-9</w:t>
            </w:r>
          </w:p>
        </w:tc>
        <w:tc>
          <w:tcPr>
            <w:tcW w:w="7344" w:type="dxa"/>
          </w:tcPr>
          <w:p w14:paraId="55E45C2A" w14:textId="77777777" w:rsidR="00FE440E" w:rsidRPr="0002495D" w:rsidRDefault="008C23E3">
            <w:pPr>
              <w:spacing w:after="40"/>
              <w:rPr>
                <w:rFonts w:ascii="Aptos" w:hAnsi="Aptos"/>
                <w:sz w:val="22"/>
              </w:rPr>
            </w:pPr>
            <w:r w:rsidRPr="0002495D">
              <w:rPr>
                <w:rFonts w:ascii="Aptos" w:hAnsi="Aptos"/>
                <w:sz w:val="22"/>
              </w:rPr>
              <w:t>Reports are normally issued at the end of each term. English, Mathematics and Science include end-of-year examination information. Other subjects use termly assessment evidence according to the school weighting model.</w:t>
            </w:r>
          </w:p>
        </w:tc>
      </w:tr>
      <w:tr w:rsidR="00FE440E" w:rsidRPr="0002495D" w14:paraId="2BB8AAF9" w14:textId="77777777">
        <w:trPr>
          <w:jc w:val="center"/>
        </w:trPr>
        <w:tc>
          <w:tcPr>
            <w:tcW w:w="2016" w:type="dxa"/>
          </w:tcPr>
          <w:p w14:paraId="73F206CE" w14:textId="77777777" w:rsidR="00FE440E" w:rsidRPr="0002495D" w:rsidRDefault="008C23E3">
            <w:pPr>
              <w:spacing w:after="40"/>
              <w:rPr>
                <w:rFonts w:ascii="Aptos" w:hAnsi="Aptos"/>
                <w:sz w:val="22"/>
              </w:rPr>
            </w:pPr>
            <w:r w:rsidRPr="0002495D">
              <w:rPr>
                <w:rFonts w:ascii="Aptos" w:hAnsi="Aptos"/>
                <w:sz w:val="22"/>
              </w:rPr>
              <w:t>Year 10</w:t>
            </w:r>
          </w:p>
        </w:tc>
        <w:tc>
          <w:tcPr>
            <w:tcW w:w="7344" w:type="dxa"/>
          </w:tcPr>
          <w:p w14:paraId="26FBFA28" w14:textId="77777777" w:rsidR="00FE440E" w:rsidRPr="0002495D" w:rsidRDefault="008C23E3">
            <w:pPr>
              <w:spacing w:after="40"/>
              <w:rPr>
                <w:rFonts w:ascii="Aptos" w:hAnsi="Aptos"/>
                <w:sz w:val="22"/>
              </w:rPr>
            </w:pPr>
            <w:r w:rsidRPr="0002495D">
              <w:rPr>
                <w:rFonts w:ascii="Aptos" w:hAnsi="Aptos"/>
                <w:sz w:val="22"/>
              </w:rPr>
              <w:t>Reports include termly assessment information and, in Term 3, end-of-year examination information for IGCSE subjects.</w:t>
            </w:r>
          </w:p>
        </w:tc>
      </w:tr>
      <w:tr w:rsidR="00FE440E" w:rsidRPr="0002495D" w14:paraId="70924913" w14:textId="77777777">
        <w:trPr>
          <w:jc w:val="center"/>
        </w:trPr>
        <w:tc>
          <w:tcPr>
            <w:tcW w:w="2016" w:type="dxa"/>
          </w:tcPr>
          <w:p w14:paraId="6683CF26" w14:textId="77777777" w:rsidR="00FE440E" w:rsidRPr="0002495D" w:rsidRDefault="008C23E3">
            <w:pPr>
              <w:spacing w:after="40"/>
              <w:rPr>
                <w:rFonts w:ascii="Aptos" w:hAnsi="Aptos"/>
                <w:sz w:val="22"/>
              </w:rPr>
            </w:pPr>
            <w:r w:rsidRPr="0002495D">
              <w:rPr>
                <w:rFonts w:ascii="Aptos" w:hAnsi="Aptos"/>
                <w:sz w:val="22"/>
              </w:rPr>
              <w:t>Years 11-13</w:t>
            </w:r>
          </w:p>
        </w:tc>
        <w:tc>
          <w:tcPr>
            <w:tcW w:w="7344" w:type="dxa"/>
          </w:tcPr>
          <w:p w14:paraId="69AEC396" w14:textId="77777777" w:rsidR="00FE440E" w:rsidRPr="0002495D" w:rsidRDefault="008C23E3">
            <w:pPr>
              <w:spacing w:after="40"/>
              <w:rPr>
                <w:rFonts w:ascii="Aptos" w:hAnsi="Aptos"/>
                <w:sz w:val="22"/>
              </w:rPr>
            </w:pPr>
            <w:r w:rsidRPr="0002495D">
              <w:rPr>
                <w:rFonts w:ascii="Aptos" w:hAnsi="Aptos"/>
                <w:sz w:val="22"/>
              </w:rPr>
              <w:t>Reports include termly data, mock examination data where relevant, and information linked to external examination preparation.</w:t>
            </w:r>
          </w:p>
        </w:tc>
      </w:tr>
      <w:tr w:rsidR="00FE440E" w:rsidRPr="0002495D" w14:paraId="0B4CBCA2" w14:textId="77777777">
        <w:trPr>
          <w:jc w:val="center"/>
        </w:trPr>
        <w:tc>
          <w:tcPr>
            <w:tcW w:w="2016" w:type="dxa"/>
          </w:tcPr>
          <w:p w14:paraId="370A5A36" w14:textId="77777777" w:rsidR="00FE440E" w:rsidRPr="0002495D" w:rsidRDefault="008C23E3">
            <w:pPr>
              <w:spacing w:after="40"/>
              <w:rPr>
                <w:rFonts w:ascii="Aptos" w:hAnsi="Aptos"/>
                <w:sz w:val="22"/>
              </w:rPr>
            </w:pPr>
            <w:r w:rsidRPr="0002495D">
              <w:rPr>
                <w:rFonts w:ascii="Aptos" w:hAnsi="Aptos"/>
                <w:sz w:val="22"/>
              </w:rPr>
              <w:t>IBCP</w:t>
            </w:r>
          </w:p>
        </w:tc>
        <w:tc>
          <w:tcPr>
            <w:tcW w:w="7344" w:type="dxa"/>
          </w:tcPr>
          <w:p w14:paraId="23338A48" w14:textId="77777777" w:rsidR="00FE440E" w:rsidRPr="0002495D" w:rsidRDefault="008C23E3">
            <w:pPr>
              <w:spacing w:after="40"/>
              <w:rPr>
                <w:rFonts w:ascii="Aptos" w:hAnsi="Aptos"/>
                <w:sz w:val="22"/>
              </w:rPr>
            </w:pPr>
            <w:r w:rsidRPr="0002495D">
              <w:rPr>
                <w:rFonts w:ascii="Aptos" w:hAnsi="Aptos"/>
                <w:sz w:val="22"/>
              </w:rPr>
              <w:t>Reports reflect school assessment evidence, DP subject progress, CP core progress and career-related study requirements, where applicable.</w:t>
            </w:r>
          </w:p>
        </w:tc>
      </w:tr>
    </w:tbl>
    <w:p w14:paraId="3F2890C2" w14:textId="77777777" w:rsidR="00FE440E" w:rsidRPr="0002495D" w:rsidRDefault="008C23E3">
      <w:pPr>
        <w:pStyle w:val="Heading1"/>
        <w:rPr>
          <w:rFonts w:ascii="Aptos" w:hAnsi="Aptos" w:cstheme="minorBidi"/>
          <w:b w:val="0"/>
          <w:bCs w:val="0"/>
          <w:sz w:val="26"/>
          <w:szCs w:val="26"/>
        </w:rPr>
      </w:pPr>
      <w:r w:rsidRPr="0002495D">
        <w:rPr>
          <w:rFonts w:ascii="Aptos" w:hAnsi="Aptos" w:cstheme="minorBidi"/>
          <w:b w:val="0"/>
          <w:bCs w:val="0"/>
          <w:sz w:val="26"/>
          <w:szCs w:val="26"/>
        </w:rPr>
        <w:t>12. How assessment contributes to reports</w:t>
      </w:r>
    </w:p>
    <w:p w14:paraId="1246283D" w14:textId="77777777" w:rsidR="00FE440E" w:rsidRPr="0002495D" w:rsidRDefault="008C23E3">
      <w:pPr>
        <w:rPr>
          <w:rFonts w:ascii="Aptos" w:hAnsi="Aptos"/>
          <w:sz w:val="22"/>
        </w:rPr>
      </w:pPr>
      <w:r w:rsidRPr="0002495D">
        <w:rPr>
          <w:rFonts w:ascii="Aptos" w:hAnsi="Aptos"/>
          <w:sz w:val="22"/>
        </w:rPr>
        <w:t>The balance between formative assessment, summative assessment, mock examinations and end-of-year examinations differs by year group and subject. This is to provide a fairer overall picture of progress rather than relying on one piece of work only.</w:t>
      </w:r>
    </w:p>
    <w:tbl>
      <w:tblPr>
        <w:tblStyle w:val="TableGrid"/>
        <w:tblW w:w="0" w:type="auto"/>
        <w:jc w:val="center"/>
        <w:tblLook w:val="04A0" w:firstRow="1" w:lastRow="0" w:firstColumn="1" w:lastColumn="0" w:noHBand="0" w:noVBand="1"/>
      </w:tblPr>
      <w:tblGrid>
        <w:gridCol w:w="3024"/>
        <w:gridCol w:w="6336"/>
      </w:tblGrid>
      <w:tr w:rsidR="00FE440E" w:rsidRPr="0002495D" w14:paraId="1F8ABAD8" w14:textId="77777777">
        <w:trPr>
          <w:jc w:val="center"/>
        </w:trPr>
        <w:tc>
          <w:tcPr>
            <w:tcW w:w="3024" w:type="dxa"/>
            <w:shd w:val="clear" w:color="auto" w:fill="D9EAF7"/>
          </w:tcPr>
          <w:p w14:paraId="288263C2" w14:textId="77777777" w:rsidR="00FE440E" w:rsidRPr="0002495D" w:rsidRDefault="008C23E3">
            <w:pPr>
              <w:spacing w:after="40"/>
              <w:rPr>
                <w:rFonts w:ascii="Aptos" w:hAnsi="Aptos"/>
                <w:sz w:val="22"/>
              </w:rPr>
            </w:pPr>
            <w:r w:rsidRPr="0002495D">
              <w:rPr>
                <w:rFonts w:ascii="Aptos" w:hAnsi="Aptos"/>
                <w:b/>
                <w:sz w:val="22"/>
              </w:rPr>
              <w:t>Year group</w:t>
            </w:r>
          </w:p>
        </w:tc>
        <w:tc>
          <w:tcPr>
            <w:tcW w:w="6336" w:type="dxa"/>
            <w:shd w:val="clear" w:color="auto" w:fill="D9EAF7"/>
          </w:tcPr>
          <w:p w14:paraId="2D39DAC6" w14:textId="77777777" w:rsidR="00FE440E" w:rsidRPr="0002495D" w:rsidRDefault="008C23E3">
            <w:pPr>
              <w:spacing w:after="40"/>
              <w:rPr>
                <w:rFonts w:ascii="Aptos" w:hAnsi="Aptos"/>
                <w:sz w:val="22"/>
              </w:rPr>
            </w:pPr>
            <w:r w:rsidRPr="0002495D">
              <w:rPr>
                <w:rFonts w:ascii="Aptos" w:hAnsi="Aptos"/>
                <w:b/>
                <w:sz w:val="22"/>
              </w:rPr>
              <w:t>General weighting principle</w:t>
            </w:r>
          </w:p>
        </w:tc>
      </w:tr>
      <w:tr w:rsidR="00FE440E" w:rsidRPr="0002495D" w14:paraId="0E0C92C4" w14:textId="77777777">
        <w:trPr>
          <w:jc w:val="center"/>
        </w:trPr>
        <w:tc>
          <w:tcPr>
            <w:tcW w:w="3024" w:type="dxa"/>
          </w:tcPr>
          <w:p w14:paraId="282EACF0" w14:textId="77777777" w:rsidR="00FE440E" w:rsidRPr="0002495D" w:rsidRDefault="008C23E3">
            <w:pPr>
              <w:spacing w:after="40"/>
              <w:rPr>
                <w:rFonts w:ascii="Aptos" w:hAnsi="Aptos"/>
                <w:sz w:val="22"/>
              </w:rPr>
            </w:pPr>
            <w:r w:rsidRPr="0002495D">
              <w:rPr>
                <w:rFonts w:ascii="Aptos" w:hAnsi="Aptos"/>
                <w:sz w:val="22"/>
              </w:rPr>
              <w:t>Years 7-9 English, Mathematics and Science</w:t>
            </w:r>
          </w:p>
        </w:tc>
        <w:tc>
          <w:tcPr>
            <w:tcW w:w="6336" w:type="dxa"/>
          </w:tcPr>
          <w:p w14:paraId="21AD3D12" w14:textId="77777777" w:rsidR="00FE440E" w:rsidRPr="0002495D" w:rsidRDefault="008C23E3">
            <w:pPr>
              <w:spacing w:after="40"/>
              <w:rPr>
                <w:rFonts w:ascii="Aptos" w:hAnsi="Aptos"/>
                <w:sz w:val="22"/>
              </w:rPr>
            </w:pPr>
            <w:r w:rsidRPr="0002495D">
              <w:rPr>
                <w:rFonts w:ascii="Aptos" w:hAnsi="Aptos"/>
                <w:sz w:val="22"/>
              </w:rPr>
              <w:t>Termly formative and summative assessment contributes to progress information, with an end-of-year examination also contributing to the overall picture.</w:t>
            </w:r>
          </w:p>
        </w:tc>
      </w:tr>
      <w:tr w:rsidR="00FE440E" w:rsidRPr="0002495D" w14:paraId="215AD0D2" w14:textId="77777777">
        <w:trPr>
          <w:jc w:val="center"/>
        </w:trPr>
        <w:tc>
          <w:tcPr>
            <w:tcW w:w="3024" w:type="dxa"/>
          </w:tcPr>
          <w:p w14:paraId="136717A9" w14:textId="77777777" w:rsidR="00FE440E" w:rsidRPr="0002495D" w:rsidRDefault="008C23E3">
            <w:pPr>
              <w:spacing w:after="40"/>
              <w:rPr>
                <w:rFonts w:ascii="Aptos" w:hAnsi="Aptos"/>
                <w:sz w:val="22"/>
              </w:rPr>
            </w:pPr>
            <w:r w:rsidRPr="0002495D">
              <w:rPr>
                <w:rFonts w:ascii="Aptos" w:hAnsi="Aptos"/>
                <w:sz w:val="22"/>
              </w:rPr>
              <w:t>Years 7-9 other subjects</w:t>
            </w:r>
          </w:p>
        </w:tc>
        <w:tc>
          <w:tcPr>
            <w:tcW w:w="6336" w:type="dxa"/>
          </w:tcPr>
          <w:p w14:paraId="7503798B" w14:textId="77777777" w:rsidR="00FE440E" w:rsidRPr="0002495D" w:rsidRDefault="008C23E3">
            <w:pPr>
              <w:spacing w:after="40"/>
              <w:rPr>
                <w:rFonts w:ascii="Aptos" w:hAnsi="Aptos"/>
                <w:sz w:val="22"/>
              </w:rPr>
            </w:pPr>
            <w:r w:rsidRPr="0002495D">
              <w:rPr>
                <w:rFonts w:ascii="Aptos" w:hAnsi="Aptos"/>
                <w:sz w:val="22"/>
              </w:rPr>
              <w:t>Assessment is based mainly on termly formative and summative evidence.</w:t>
            </w:r>
          </w:p>
        </w:tc>
      </w:tr>
      <w:tr w:rsidR="00FE440E" w:rsidRPr="0002495D" w14:paraId="22EE9B24" w14:textId="77777777">
        <w:trPr>
          <w:jc w:val="center"/>
        </w:trPr>
        <w:tc>
          <w:tcPr>
            <w:tcW w:w="3024" w:type="dxa"/>
          </w:tcPr>
          <w:p w14:paraId="3409BD90" w14:textId="77777777" w:rsidR="00FE440E" w:rsidRPr="0002495D" w:rsidRDefault="008C23E3">
            <w:pPr>
              <w:spacing w:after="40"/>
              <w:rPr>
                <w:rFonts w:ascii="Aptos" w:hAnsi="Aptos"/>
                <w:sz w:val="22"/>
              </w:rPr>
            </w:pPr>
            <w:r w:rsidRPr="0002495D">
              <w:rPr>
                <w:rFonts w:ascii="Aptos" w:hAnsi="Aptos"/>
                <w:sz w:val="22"/>
              </w:rPr>
              <w:t>Year 10</w:t>
            </w:r>
          </w:p>
        </w:tc>
        <w:tc>
          <w:tcPr>
            <w:tcW w:w="6336" w:type="dxa"/>
          </w:tcPr>
          <w:p w14:paraId="74BA1CC5" w14:textId="77777777" w:rsidR="00FE440E" w:rsidRPr="0002495D" w:rsidRDefault="008C23E3">
            <w:pPr>
              <w:spacing w:after="40"/>
              <w:rPr>
                <w:rFonts w:ascii="Aptos" w:hAnsi="Aptos"/>
                <w:sz w:val="22"/>
              </w:rPr>
            </w:pPr>
            <w:r w:rsidRPr="0002495D">
              <w:rPr>
                <w:rFonts w:ascii="Aptos" w:hAnsi="Aptos"/>
                <w:sz w:val="22"/>
              </w:rPr>
              <w:t>Termly formative and summative evidence is combined with end-of-year examination performance.</w:t>
            </w:r>
          </w:p>
        </w:tc>
      </w:tr>
      <w:tr w:rsidR="00FE440E" w:rsidRPr="0002495D" w14:paraId="4B57691A" w14:textId="77777777">
        <w:trPr>
          <w:jc w:val="center"/>
        </w:trPr>
        <w:tc>
          <w:tcPr>
            <w:tcW w:w="3024" w:type="dxa"/>
          </w:tcPr>
          <w:p w14:paraId="36C28B5F" w14:textId="77777777" w:rsidR="00FE440E" w:rsidRPr="0002495D" w:rsidRDefault="008C23E3">
            <w:pPr>
              <w:spacing w:after="40"/>
              <w:rPr>
                <w:rFonts w:ascii="Aptos" w:hAnsi="Aptos"/>
                <w:sz w:val="22"/>
              </w:rPr>
            </w:pPr>
            <w:r w:rsidRPr="0002495D">
              <w:rPr>
                <w:rFonts w:ascii="Aptos" w:hAnsi="Aptos"/>
                <w:sz w:val="22"/>
              </w:rPr>
              <w:t>Years 11-13</w:t>
            </w:r>
          </w:p>
        </w:tc>
        <w:tc>
          <w:tcPr>
            <w:tcW w:w="6336" w:type="dxa"/>
          </w:tcPr>
          <w:p w14:paraId="60698670" w14:textId="77777777" w:rsidR="00FE440E" w:rsidRPr="0002495D" w:rsidRDefault="008C23E3">
            <w:pPr>
              <w:spacing w:after="40"/>
              <w:rPr>
                <w:rFonts w:ascii="Aptos" w:hAnsi="Aptos"/>
                <w:sz w:val="22"/>
              </w:rPr>
            </w:pPr>
            <w:r w:rsidRPr="0002495D">
              <w:rPr>
                <w:rFonts w:ascii="Aptos" w:hAnsi="Aptos"/>
                <w:sz w:val="22"/>
              </w:rPr>
              <w:t>Term 1 and Term 2 evidence is combined with mock examination evidence where relevant. Final external examinations are governed by the relevant awarding body.</w:t>
            </w:r>
          </w:p>
        </w:tc>
      </w:tr>
    </w:tbl>
    <w:p w14:paraId="7367F24B" w14:textId="77777777" w:rsidR="00FE440E" w:rsidRPr="0002495D" w:rsidRDefault="00FE440E">
      <w:pPr>
        <w:rPr>
          <w:rFonts w:ascii="Aptos" w:hAnsi="Aptos"/>
          <w:sz w:val="22"/>
        </w:rPr>
      </w:pPr>
    </w:p>
    <w:p w14:paraId="3EF892C9" w14:textId="3278DFF3" w:rsidR="00B42BE1" w:rsidRPr="0002495D" w:rsidRDefault="00B42BE1" w:rsidP="00B42BE1">
      <w:pPr>
        <w:rPr>
          <w:rFonts w:ascii="Aptos" w:hAnsi="Aptos"/>
          <w:sz w:val="22"/>
        </w:rPr>
      </w:pPr>
      <w:r w:rsidRPr="0002495D">
        <w:rPr>
          <w:rFonts w:ascii="Aptos" w:hAnsi="Aptos"/>
          <w:b/>
          <w:bCs/>
          <w:sz w:val="22"/>
        </w:rPr>
        <w:t>Note:</w:t>
      </w:r>
      <w:r w:rsidRPr="0002495D">
        <w:rPr>
          <w:rFonts w:ascii="Aptos" w:hAnsi="Aptos"/>
          <w:sz w:val="22"/>
        </w:rPr>
        <w:t xml:space="preserve"> Detailed assessment weightings are available upon request and are also shared with parents during relevant parent information sessions.</w:t>
      </w:r>
    </w:p>
    <w:p w14:paraId="75C71E01" w14:textId="77777777" w:rsidR="00FE440E" w:rsidRPr="0002495D" w:rsidRDefault="008C23E3">
      <w:pPr>
        <w:pStyle w:val="Heading1"/>
        <w:rPr>
          <w:rFonts w:ascii="Aptos" w:hAnsi="Aptos" w:cstheme="minorBidi"/>
          <w:b w:val="0"/>
          <w:bCs w:val="0"/>
          <w:sz w:val="26"/>
          <w:szCs w:val="26"/>
        </w:rPr>
      </w:pPr>
      <w:r w:rsidRPr="0002495D">
        <w:rPr>
          <w:rFonts w:ascii="Aptos" w:hAnsi="Aptos" w:cstheme="minorBidi"/>
          <w:b w:val="0"/>
          <w:bCs w:val="0"/>
          <w:sz w:val="26"/>
          <w:szCs w:val="26"/>
        </w:rPr>
        <w:lastRenderedPageBreak/>
        <w:t>13. Returning marked test papers and scripts</w:t>
      </w:r>
    </w:p>
    <w:p w14:paraId="72D708D1" w14:textId="77777777" w:rsidR="00FE440E" w:rsidRPr="0002495D" w:rsidRDefault="008C23E3">
      <w:pPr>
        <w:rPr>
          <w:rFonts w:ascii="Aptos" w:hAnsi="Aptos"/>
          <w:sz w:val="22"/>
        </w:rPr>
      </w:pPr>
      <w:r w:rsidRPr="0002495D">
        <w:rPr>
          <w:rFonts w:ascii="Aptos" w:hAnsi="Aptos"/>
          <w:sz w:val="22"/>
        </w:rPr>
        <w:t>Marked internal assessments may be returned to students to support review, reflection and improvement. Students should review marked work carefully when it is returned and raise any concerns promptly with the teacher during the review process.</w:t>
      </w:r>
    </w:p>
    <w:p w14:paraId="3E7A2EE4" w14:textId="77777777" w:rsidR="00FE440E" w:rsidRPr="0002495D" w:rsidRDefault="008C23E3">
      <w:pPr>
        <w:pStyle w:val="ListBullet"/>
        <w:spacing w:after="40"/>
        <w:rPr>
          <w:rFonts w:ascii="Aptos" w:hAnsi="Aptos"/>
          <w:sz w:val="22"/>
        </w:rPr>
      </w:pPr>
      <w:r w:rsidRPr="0002495D">
        <w:rPr>
          <w:rFonts w:ascii="Aptos" w:hAnsi="Aptos"/>
          <w:sz w:val="22"/>
        </w:rPr>
        <w:t>Once a paper has been taken home, it is normally at the school’s discretion whether any later request for a marking review is considered.</w:t>
      </w:r>
    </w:p>
    <w:p w14:paraId="7065A922" w14:textId="77777777" w:rsidR="00FE440E" w:rsidRPr="0002495D" w:rsidRDefault="008C23E3">
      <w:pPr>
        <w:pStyle w:val="ListBullet"/>
        <w:spacing w:after="40"/>
        <w:rPr>
          <w:rFonts w:ascii="Aptos" w:hAnsi="Aptos"/>
          <w:sz w:val="22"/>
        </w:rPr>
      </w:pPr>
      <w:r w:rsidRPr="0002495D">
        <w:rPr>
          <w:rFonts w:ascii="Aptos" w:hAnsi="Aptos"/>
          <w:sz w:val="22"/>
        </w:rPr>
        <w:t>Students must not alter answers, write on returned test papers inappropriately, or attempt to change work after marking.</w:t>
      </w:r>
    </w:p>
    <w:p w14:paraId="0716620F" w14:textId="77777777" w:rsidR="00FE440E" w:rsidRPr="0002495D" w:rsidRDefault="008C23E3">
      <w:pPr>
        <w:pStyle w:val="ListBullet"/>
        <w:spacing w:after="40"/>
        <w:rPr>
          <w:rFonts w:ascii="Aptos" w:hAnsi="Aptos"/>
          <w:sz w:val="22"/>
        </w:rPr>
      </w:pPr>
      <w:r w:rsidRPr="0002495D">
        <w:rPr>
          <w:rFonts w:ascii="Aptos" w:hAnsi="Aptos"/>
          <w:sz w:val="22"/>
        </w:rPr>
        <w:t>Parents and students are expected to maintain the confidentiality of assessment papers, particularly where papers may still be used with other groups.</w:t>
      </w:r>
    </w:p>
    <w:p w14:paraId="00BC91B9" w14:textId="77777777" w:rsidR="00FE440E" w:rsidRPr="0002495D" w:rsidRDefault="008C23E3">
      <w:pPr>
        <w:pStyle w:val="Heading1"/>
        <w:rPr>
          <w:rFonts w:ascii="Aptos" w:hAnsi="Aptos" w:cstheme="minorBidi"/>
          <w:b w:val="0"/>
          <w:bCs w:val="0"/>
          <w:sz w:val="26"/>
          <w:szCs w:val="26"/>
        </w:rPr>
      </w:pPr>
      <w:r w:rsidRPr="0002495D">
        <w:rPr>
          <w:rFonts w:ascii="Aptos" w:hAnsi="Aptos" w:cstheme="minorBidi"/>
          <w:b w:val="0"/>
          <w:bCs w:val="0"/>
          <w:sz w:val="26"/>
          <w:szCs w:val="26"/>
        </w:rPr>
        <w:t>14. Access arrangements, inclusion, SEND and EAL</w:t>
      </w:r>
    </w:p>
    <w:p w14:paraId="5D2F297E" w14:textId="77777777" w:rsidR="00FE440E" w:rsidRPr="0002495D" w:rsidRDefault="008C23E3">
      <w:pPr>
        <w:rPr>
          <w:rFonts w:ascii="Aptos" w:hAnsi="Aptos"/>
          <w:sz w:val="22"/>
        </w:rPr>
      </w:pPr>
      <w:r w:rsidRPr="0002495D">
        <w:rPr>
          <w:rFonts w:ascii="Aptos" w:hAnsi="Aptos"/>
          <w:sz w:val="22"/>
        </w:rPr>
        <w:t>RGSR recognises that some students may require access arrangements because of a long-term disability, illness, learning difficulty or other recognised barrier to assessment. Access arrangements must reflect the student’s normal way of working and must be supported by appropriate evidence.</w:t>
      </w:r>
    </w:p>
    <w:p w14:paraId="7557A4F5" w14:textId="77777777" w:rsidR="00FE440E" w:rsidRPr="0002495D" w:rsidRDefault="008C23E3">
      <w:pPr>
        <w:pStyle w:val="ListBullet"/>
        <w:spacing w:after="40"/>
        <w:rPr>
          <w:rFonts w:ascii="Aptos" w:hAnsi="Aptos"/>
          <w:sz w:val="22"/>
        </w:rPr>
      </w:pPr>
      <w:r w:rsidRPr="0002495D">
        <w:rPr>
          <w:rFonts w:ascii="Aptos" w:hAnsi="Aptos"/>
          <w:sz w:val="22"/>
        </w:rPr>
        <w:t>Access arrangements are not designed to give a student an unfair advantage.</w:t>
      </w:r>
    </w:p>
    <w:p w14:paraId="3E603CAC" w14:textId="77777777" w:rsidR="00FE440E" w:rsidRPr="0002495D" w:rsidRDefault="008C23E3">
      <w:pPr>
        <w:pStyle w:val="ListBullet"/>
        <w:spacing w:after="40"/>
        <w:rPr>
          <w:rFonts w:ascii="Aptos" w:hAnsi="Aptos"/>
          <w:sz w:val="22"/>
        </w:rPr>
      </w:pPr>
      <w:r w:rsidRPr="0002495D">
        <w:rPr>
          <w:rFonts w:ascii="Aptos" w:hAnsi="Aptos"/>
          <w:sz w:val="22"/>
        </w:rPr>
        <w:t>Evidence may be required from a suitably qualified professional, such as a medical professional, educational psychologist, clinical psychologist, occupational psychologist or appropriately qualified specialist teacher.</w:t>
      </w:r>
    </w:p>
    <w:p w14:paraId="0D045B18" w14:textId="77777777" w:rsidR="00FE440E" w:rsidRPr="0002495D" w:rsidRDefault="008C23E3">
      <w:pPr>
        <w:pStyle w:val="ListBullet"/>
        <w:spacing w:after="40"/>
        <w:rPr>
          <w:rFonts w:ascii="Aptos" w:hAnsi="Aptos"/>
          <w:sz w:val="22"/>
        </w:rPr>
      </w:pPr>
      <w:r w:rsidRPr="0002495D">
        <w:rPr>
          <w:rFonts w:ascii="Aptos" w:hAnsi="Aptos"/>
          <w:sz w:val="22"/>
        </w:rPr>
        <w:t>Evidence normally needs to be recent, relevant, signed, dated and written in English or officially translated.</w:t>
      </w:r>
    </w:p>
    <w:p w14:paraId="7B275B91" w14:textId="77777777" w:rsidR="00FE440E" w:rsidRPr="0002495D" w:rsidRDefault="008C23E3">
      <w:pPr>
        <w:pStyle w:val="ListBullet"/>
        <w:spacing w:after="40"/>
        <w:rPr>
          <w:rFonts w:ascii="Aptos" w:hAnsi="Aptos"/>
          <w:sz w:val="22"/>
        </w:rPr>
      </w:pPr>
      <w:r w:rsidRPr="0002495D">
        <w:rPr>
          <w:rFonts w:ascii="Aptos" w:hAnsi="Aptos"/>
          <w:sz w:val="22"/>
        </w:rPr>
        <w:t>English as an Additional Language, by itself, is not normally sufficient reason for an external examination access arrangement.</w:t>
      </w:r>
    </w:p>
    <w:p w14:paraId="2FF0BE31" w14:textId="77777777" w:rsidR="00FE440E" w:rsidRPr="0002495D" w:rsidRDefault="008C23E3">
      <w:pPr>
        <w:pStyle w:val="ListBullet"/>
        <w:spacing w:after="40"/>
        <w:rPr>
          <w:rFonts w:ascii="Aptos" w:hAnsi="Aptos"/>
          <w:sz w:val="22"/>
        </w:rPr>
      </w:pPr>
      <w:r w:rsidRPr="0002495D">
        <w:rPr>
          <w:rFonts w:ascii="Aptos" w:hAnsi="Aptos"/>
          <w:sz w:val="22"/>
        </w:rPr>
        <w:t>For Cambridge International, Pearson Edexcel and IB assessments, the school must follow the relevant awarding-body access arrangement rules.</w:t>
      </w:r>
    </w:p>
    <w:p w14:paraId="41BD22A9" w14:textId="77777777" w:rsidR="00FE440E" w:rsidRPr="0002495D" w:rsidRDefault="008C23E3">
      <w:pPr>
        <w:pStyle w:val="ListBullet"/>
        <w:spacing w:after="40"/>
        <w:rPr>
          <w:rFonts w:ascii="Aptos" w:hAnsi="Aptos"/>
          <w:sz w:val="22"/>
        </w:rPr>
      </w:pPr>
      <w:r w:rsidRPr="0002495D">
        <w:rPr>
          <w:rFonts w:ascii="Aptos" w:hAnsi="Aptos"/>
          <w:sz w:val="22"/>
        </w:rPr>
        <w:t>Students with SEND or EAL are supported through adaptive teaching, appropriate scaffolding, intervention pathways and reasonable adjustments where applicable.</w:t>
      </w:r>
    </w:p>
    <w:p w14:paraId="0FE78477" w14:textId="77777777" w:rsidR="00FE440E" w:rsidRPr="0002495D" w:rsidRDefault="008C23E3">
      <w:pPr>
        <w:pStyle w:val="Heading1"/>
        <w:rPr>
          <w:rFonts w:ascii="Aptos" w:hAnsi="Aptos" w:cstheme="minorBidi"/>
          <w:b w:val="0"/>
          <w:bCs w:val="0"/>
          <w:sz w:val="26"/>
          <w:szCs w:val="26"/>
        </w:rPr>
      </w:pPr>
      <w:r w:rsidRPr="0002495D">
        <w:rPr>
          <w:rFonts w:ascii="Aptos" w:hAnsi="Aptos" w:cstheme="minorBidi"/>
          <w:b w:val="0"/>
          <w:bCs w:val="0"/>
          <w:sz w:val="26"/>
          <w:szCs w:val="26"/>
        </w:rPr>
        <w:t>15. Parent and student responsibilities</w:t>
      </w:r>
    </w:p>
    <w:tbl>
      <w:tblPr>
        <w:tblStyle w:val="TableGrid"/>
        <w:tblW w:w="0" w:type="auto"/>
        <w:jc w:val="center"/>
        <w:tblLook w:val="04A0" w:firstRow="1" w:lastRow="0" w:firstColumn="1" w:lastColumn="0" w:noHBand="0" w:noVBand="1"/>
      </w:tblPr>
      <w:tblGrid>
        <w:gridCol w:w="4680"/>
        <w:gridCol w:w="4680"/>
      </w:tblGrid>
      <w:tr w:rsidR="00FE440E" w:rsidRPr="0002495D" w14:paraId="53C62845" w14:textId="77777777">
        <w:trPr>
          <w:jc w:val="center"/>
        </w:trPr>
        <w:tc>
          <w:tcPr>
            <w:tcW w:w="4680" w:type="dxa"/>
            <w:shd w:val="clear" w:color="auto" w:fill="D9EAF7"/>
          </w:tcPr>
          <w:p w14:paraId="3FD17F41" w14:textId="77777777" w:rsidR="00FE440E" w:rsidRPr="0002495D" w:rsidRDefault="008C23E3">
            <w:pPr>
              <w:spacing w:after="40"/>
              <w:rPr>
                <w:rFonts w:ascii="Aptos" w:hAnsi="Aptos"/>
                <w:sz w:val="22"/>
              </w:rPr>
            </w:pPr>
            <w:r w:rsidRPr="0002495D">
              <w:rPr>
                <w:rFonts w:ascii="Aptos" w:hAnsi="Aptos"/>
                <w:b/>
                <w:sz w:val="22"/>
              </w:rPr>
              <w:t>Parents can support by</w:t>
            </w:r>
          </w:p>
        </w:tc>
        <w:tc>
          <w:tcPr>
            <w:tcW w:w="4680" w:type="dxa"/>
            <w:shd w:val="clear" w:color="auto" w:fill="D9EAF7"/>
          </w:tcPr>
          <w:p w14:paraId="630BB907" w14:textId="77777777" w:rsidR="00FE440E" w:rsidRPr="0002495D" w:rsidRDefault="008C23E3">
            <w:pPr>
              <w:spacing w:after="40"/>
              <w:rPr>
                <w:rFonts w:ascii="Aptos" w:hAnsi="Aptos"/>
                <w:sz w:val="22"/>
              </w:rPr>
            </w:pPr>
            <w:r w:rsidRPr="0002495D">
              <w:rPr>
                <w:rFonts w:ascii="Aptos" w:hAnsi="Aptos"/>
                <w:b/>
                <w:sz w:val="22"/>
              </w:rPr>
              <w:t>Students are expected to</w:t>
            </w:r>
          </w:p>
        </w:tc>
      </w:tr>
      <w:tr w:rsidR="00FE440E" w:rsidRPr="0002495D" w14:paraId="1F7C3778" w14:textId="77777777">
        <w:trPr>
          <w:jc w:val="center"/>
        </w:trPr>
        <w:tc>
          <w:tcPr>
            <w:tcW w:w="4680" w:type="dxa"/>
          </w:tcPr>
          <w:p w14:paraId="7403BA07" w14:textId="77777777" w:rsidR="00FE440E" w:rsidRPr="0002495D" w:rsidRDefault="008C23E3">
            <w:pPr>
              <w:spacing w:after="40"/>
              <w:rPr>
                <w:rFonts w:ascii="Aptos" w:hAnsi="Aptos"/>
                <w:sz w:val="22"/>
              </w:rPr>
            </w:pPr>
            <w:r w:rsidRPr="0002495D">
              <w:rPr>
                <w:rFonts w:ascii="Aptos" w:hAnsi="Aptos"/>
                <w:sz w:val="22"/>
              </w:rPr>
              <w:t>Reviewing reports carefully and discussing next steps with their child.</w:t>
            </w:r>
          </w:p>
        </w:tc>
        <w:tc>
          <w:tcPr>
            <w:tcW w:w="4680" w:type="dxa"/>
          </w:tcPr>
          <w:p w14:paraId="4E048C03" w14:textId="77777777" w:rsidR="00FE440E" w:rsidRPr="0002495D" w:rsidRDefault="008C23E3">
            <w:pPr>
              <w:spacing w:after="40"/>
              <w:rPr>
                <w:rFonts w:ascii="Aptos" w:hAnsi="Aptos"/>
                <w:sz w:val="22"/>
              </w:rPr>
            </w:pPr>
            <w:r w:rsidRPr="0002495D">
              <w:rPr>
                <w:rFonts w:ascii="Aptos" w:hAnsi="Aptos"/>
                <w:sz w:val="22"/>
              </w:rPr>
              <w:t>Attend assessments and examinations punctually and with the correct equipment.</w:t>
            </w:r>
          </w:p>
        </w:tc>
      </w:tr>
      <w:tr w:rsidR="00FE440E" w:rsidRPr="0002495D" w14:paraId="5792BFA9" w14:textId="77777777">
        <w:trPr>
          <w:jc w:val="center"/>
        </w:trPr>
        <w:tc>
          <w:tcPr>
            <w:tcW w:w="4680" w:type="dxa"/>
          </w:tcPr>
          <w:p w14:paraId="7B68AB0A" w14:textId="77777777" w:rsidR="00FE440E" w:rsidRPr="0002495D" w:rsidRDefault="008C23E3">
            <w:pPr>
              <w:spacing w:after="40"/>
              <w:rPr>
                <w:rFonts w:ascii="Aptos" w:hAnsi="Aptos"/>
                <w:sz w:val="22"/>
              </w:rPr>
            </w:pPr>
            <w:r w:rsidRPr="0002495D">
              <w:rPr>
                <w:rFonts w:ascii="Aptos" w:hAnsi="Aptos"/>
                <w:sz w:val="22"/>
              </w:rPr>
              <w:t>Encouraging students to act on feedback rather than focusing only on marks.</w:t>
            </w:r>
          </w:p>
        </w:tc>
        <w:tc>
          <w:tcPr>
            <w:tcW w:w="4680" w:type="dxa"/>
          </w:tcPr>
          <w:p w14:paraId="7976A487" w14:textId="77777777" w:rsidR="00FE440E" w:rsidRPr="0002495D" w:rsidRDefault="008C23E3">
            <w:pPr>
              <w:spacing w:after="40"/>
              <w:rPr>
                <w:rFonts w:ascii="Aptos" w:hAnsi="Aptos"/>
                <w:sz w:val="22"/>
              </w:rPr>
            </w:pPr>
            <w:r w:rsidRPr="0002495D">
              <w:rPr>
                <w:rFonts w:ascii="Aptos" w:hAnsi="Aptos"/>
                <w:sz w:val="22"/>
              </w:rPr>
              <w:t>Engage seriously with feedback, corrections, redrafting and revision.</w:t>
            </w:r>
          </w:p>
        </w:tc>
      </w:tr>
      <w:tr w:rsidR="00FE440E" w:rsidRPr="0002495D" w14:paraId="4326BF8C" w14:textId="77777777">
        <w:trPr>
          <w:jc w:val="center"/>
        </w:trPr>
        <w:tc>
          <w:tcPr>
            <w:tcW w:w="4680" w:type="dxa"/>
          </w:tcPr>
          <w:p w14:paraId="33CF9089" w14:textId="77777777" w:rsidR="00FE440E" w:rsidRPr="0002495D" w:rsidRDefault="008C23E3">
            <w:pPr>
              <w:spacing w:after="40"/>
              <w:rPr>
                <w:rFonts w:ascii="Aptos" w:hAnsi="Aptos"/>
                <w:sz w:val="22"/>
              </w:rPr>
            </w:pPr>
            <w:r w:rsidRPr="0002495D">
              <w:rPr>
                <w:rFonts w:ascii="Aptos" w:hAnsi="Aptos"/>
                <w:sz w:val="22"/>
              </w:rPr>
              <w:t>Informing the school early about significant medical, personal or learning circumstances.</w:t>
            </w:r>
          </w:p>
        </w:tc>
        <w:tc>
          <w:tcPr>
            <w:tcW w:w="4680" w:type="dxa"/>
          </w:tcPr>
          <w:p w14:paraId="3CE89EF4" w14:textId="77777777" w:rsidR="00FE440E" w:rsidRPr="0002495D" w:rsidRDefault="008C23E3">
            <w:pPr>
              <w:spacing w:after="40"/>
              <w:rPr>
                <w:rFonts w:ascii="Aptos" w:hAnsi="Aptos"/>
                <w:sz w:val="22"/>
              </w:rPr>
            </w:pPr>
            <w:r w:rsidRPr="0002495D">
              <w:rPr>
                <w:rFonts w:ascii="Aptos" w:hAnsi="Aptos"/>
                <w:sz w:val="22"/>
              </w:rPr>
              <w:t>Maintain academic honesty and submit work on time.</w:t>
            </w:r>
          </w:p>
        </w:tc>
      </w:tr>
      <w:tr w:rsidR="00FE440E" w:rsidRPr="0002495D" w14:paraId="28D1982E" w14:textId="77777777">
        <w:trPr>
          <w:jc w:val="center"/>
        </w:trPr>
        <w:tc>
          <w:tcPr>
            <w:tcW w:w="4680" w:type="dxa"/>
          </w:tcPr>
          <w:p w14:paraId="408F2D95" w14:textId="77777777" w:rsidR="00FE440E" w:rsidRPr="0002495D" w:rsidRDefault="008C23E3">
            <w:pPr>
              <w:spacing w:after="40"/>
              <w:rPr>
                <w:rFonts w:ascii="Aptos" w:hAnsi="Aptos"/>
                <w:sz w:val="22"/>
              </w:rPr>
            </w:pPr>
            <w:r w:rsidRPr="0002495D">
              <w:rPr>
                <w:rFonts w:ascii="Aptos" w:hAnsi="Aptos"/>
                <w:sz w:val="22"/>
              </w:rPr>
              <w:t>Maintaining confidentiality of returned assessment materials.</w:t>
            </w:r>
          </w:p>
        </w:tc>
        <w:tc>
          <w:tcPr>
            <w:tcW w:w="4680" w:type="dxa"/>
          </w:tcPr>
          <w:p w14:paraId="4FD49128" w14:textId="77777777" w:rsidR="00FE440E" w:rsidRPr="0002495D" w:rsidRDefault="008C23E3">
            <w:pPr>
              <w:spacing w:after="40"/>
              <w:rPr>
                <w:rFonts w:ascii="Aptos" w:hAnsi="Aptos"/>
                <w:sz w:val="22"/>
              </w:rPr>
            </w:pPr>
            <w:r w:rsidRPr="0002495D">
              <w:rPr>
                <w:rFonts w:ascii="Aptos" w:hAnsi="Aptos"/>
                <w:sz w:val="22"/>
              </w:rPr>
              <w:t>Raise marking queries promptly and appropriately during the review process.</w:t>
            </w:r>
          </w:p>
        </w:tc>
      </w:tr>
      <w:tr w:rsidR="00FE440E" w:rsidRPr="0002495D" w14:paraId="6F96B159" w14:textId="77777777">
        <w:trPr>
          <w:jc w:val="center"/>
        </w:trPr>
        <w:tc>
          <w:tcPr>
            <w:tcW w:w="4680" w:type="dxa"/>
          </w:tcPr>
          <w:p w14:paraId="0BC7DEBA" w14:textId="77777777" w:rsidR="00FE440E" w:rsidRPr="0002495D" w:rsidRDefault="008C23E3">
            <w:pPr>
              <w:spacing w:after="40"/>
              <w:rPr>
                <w:rFonts w:ascii="Aptos" w:hAnsi="Aptos"/>
                <w:sz w:val="22"/>
              </w:rPr>
            </w:pPr>
            <w:r w:rsidRPr="0002495D">
              <w:rPr>
                <w:rFonts w:ascii="Aptos" w:hAnsi="Aptos"/>
                <w:sz w:val="22"/>
              </w:rPr>
              <w:t>Supporting regular revision, homework completion and organisation.</w:t>
            </w:r>
          </w:p>
        </w:tc>
        <w:tc>
          <w:tcPr>
            <w:tcW w:w="4680" w:type="dxa"/>
          </w:tcPr>
          <w:p w14:paraId="0DB83A06" w14:textId="77777777" w:rsidR="00FE440E" w:rsidRPr="0002495D" w:rsidRDefault="008C23E3">
            <w:pPr>
              <w:spacing w:after="40"/>
              <w:rPr>
                <w:rFonts w:ascii="Aptos" w:hAnsi="Aptos"/>
                <w:sz w:val="22"/>
              </w:rPr>
            </w:pPr>
            <w:r w:rsidRPr="0002495D">
              <w:rPr>
                <w:rFonts w:ascii="Aptos" w:hAnsi="Aptos"/>
                <w:sz w:val="22"/>
              </w:rPr>
              <w:t>Follow examination rules and awarding-body requirements.</w:t>
            </w:r>
          </w:p>
        </w:tc>
      </w:tr>
    </w:tbl>
    <w:p w14:paraId="031E93E1" w14:textId="77777777" w:rsidR="00FE440E" w:rsidRPr="0002495D" w:rsidRDefault="00FE440E">
      <w:pPr>
        <w:rPr>
          <w:rFonts w:ascii="Aptos" w:hAnsi="Aptos"/>
          <w:sz w:val="22"/>
        </w:rPr>
      </w:pPr>
    </w:p>
    <w:p w14:paraId="471BCB9F" w14:textId="77777777" w:rsidR="00FE440E" w:rsidRPr="0002495D" w:rsidRDefault="008C23E3">
      <w:pPr>
        <w:pStyle w:val="Heading1"/>
        <w:rPr>
          <w:rFonts w:ascii="Aptos" w:hAnsi="Aptos" w:cstheme="minorBidi"/>
          <w:b w:val="0"/>
          <w:bCs w:val="0"/>
          <w:sz w:val="26"/>
          <w:szCs w:val="26"/>
        </w:rPr>
      </w:pPr>
      <w:r w:rsidRPr="0002495D">
        <w:rPr>
          <w:rFonts w:ascii="Aptos" w:hAnsi="Aptos" w:cstheme="minorBidi"/>
          <w:b w:val="0"/>
          <w:bCs w:val="0"/>
          <w:sz w:val="26"/>
          <w:szCs w:val="26"/>
        </w:rPr>
        <w:lastRenderedPageBreak/>
        <w:t>16. Communication with school</w:t>
      </w:r>
    </w:p>
    <w:p w14:paraId="105F650A" w14:textId="77777777" w:rsidR="00FE440E" w:rsidRPr="0002495D" w:rsidRDefault="008C23E3">
      <w:pPr>
        <w:rPr>
          <w:rFonts w:ascii="Aptos" w:hAnsi="Aptos"/>
          <w:sz w:val="22"/>
        </w:rPr>
      </w:pPr>
      <w:r w:rsidRPr="0002495D">
        <w:rPr>
          <w:rFonts w:ascii="Aptos" w:hAnsi="Aptos"/>
          <w:sz w:val="22"/>
        </w:rPr>
        <w:t>Where parents have questions about assessment, feedback, reporting or examination entry, the first point of contact is normally the subject teacher or form tutor, depending on the nature of the query. More complex academic matters may be referred to the Head of Department, Head of Year, Assistant Head, IB Coordinator, Examinations Officer or Senior Leadership Team as appropriate.</w:t>
      </w:r>
    </w:p>
    <w:p w14:paraId="36B3E5AF" w14:textId="77777777" w:rsidR="00FE440E" w:rsidRPr="0002495D" w:rsidRDefault="008C23E3">
      <w:pPr>
        <w:pStyle w:val="Heading1"/>
        <w:rPr>
          <w:rFonts w:ascii="Aptos" w:hAnsi="Aptos" w:cstheme="minorBidi"/>
          <w:b w:val="0"/>
          <w:bCs w:val="0"/>
          <w:sz w:val="26"/>
          <w:szCs w:val="26"/>
        </w:rPr>
      </w:pPr>
      <w:r w:rsidRPr="0002495D">
        <w:rPr>
          <w:rFonts w:ascii="Aptos" w:hAnsi="Aptos" w:cstheme="minorBidi"/>
          <w:b w:val="0"/>
          <w:bCs w:val="0"/>
          <w:sz w:val="26"/>
          <w:szCs w:val="26"/>
        </w:rPr>
        <w:t>17. Parent quick-reference summary</w:t>
      </w:r>
    </w:p>
    <w:tbl>
      <w:tblPr>
        <w:tblStyle w:val="TableGrid"/>
        <w:tblW w:w="0" w:type="auto"/>
        <w:jc w:val="center"/>
        <w:tblLook w:val="04A0" w:firstRow="1" w:lastRow="0" w:firstColumn="1" w:lastColumn="0" w:noHBand="0" w:noVBand="1"/>
      </w:tblPr>
      <w:tblGrid>
        <w:gridCol w:w="3312"/>
        <w:gridCol w:w="6048"/>
      </w:tblGrid>
      <w:tr w:rsidR="00FE440E" w:rsidRPr="0002495D" w14:paraId="0A3D2469" w14:textId="77777777">
        <w:trPr>
          <w:jc w:val="center"/>
        </w:trPr>
        <w:tc>
          <w:tcPr>
            <w:tcW w:w="3312" w:type="dxa"/>
            <w:shd w:val="clear" w:color="auto" w:fill="D9EAF7"/>
          </w:tcPr>
          <w:p w14:paraId="2E7F3521" w14:textId="77777777" w:rsidR="00FE440E" w:rsidRPr="0002495D" w:rsidRDefault="008C23E3">
            <w:pPr>
              <w:spacing w:after="40"/>
              <w:rPr>
                <w:rFonts w:ascii="Aptos" w:hAnsi="Aptos"/>
                <w:sz w:val="22"/>
              </w:rPr>
            </w:pPr>
            <w:r w:rsidRPr="0002495D">
              <w:rPr>
                <w:rFonts w:ascii="Aptos" w:hAnsi="Aptos"/>
                <w:b/>
                <w:sz w:val="22"/>
              </w:rPr>
              <w:t>Question</w:t>
            </w:r>
          </w:p>
        </w:tc>
        <w:tc>
          <w:tcPr>
            <w:tcW w:w="6048" w:type="dxa"/>
            <w:shd w:val="clear" w:color="auto" w:fill="D9EAF7"/>
          </w:tcPr>
          <w:p w14:paraId="6126028F" w14:textId="77777777" w:rsidR="00FE440E" w:rsidRPr="0002495D" w:rsidRDefault="008C23E3">
            <w:pPr>
              <w:spacing w:after="40"/>
              <w:rPr>
                <w:rFonts w:ascii="Aptos" w:hAnsi="Aptos"/>
                <w:sz w:val="22"/>
              </w:rPr>
            </w:pPr>
            <w:r w:rsidRPr="0002495D">
              <w:rPr>
                <w:rFonts w:ascii="Aptos" w:hAnsi="Aptos"/>
                <w:b/>
                <w:sz w:val="22"/>
              </w:rPr>
              <w:t>Answer</w:t>
            </w:r>
          </w:p>
        </w:tc>
      </w:tr>
      <w:tr w:rsidR="00FE440E" w:rsidRPr="0002495D" w14:paraId="17FAD23A" w14:textId="77777777">
        <w:trPr>
          <w:jc w:val="center"/>
        </w:trPr>
        <w:tc>
          <w:tcPr>
            <w:tcW w:w="3312" w:type="dxa"/>
          </w:tcPr>
          <w:p w14:paraId="66AA784E" w14:textId="77777777" w:rsidR="00FE440E" w:rsidRPr="0002495D" w:rsidRDefault="008C23E3">
            <w:pPr>
              <w:spacing w:after="40"/>
              <w:rPr>
                <w:rFonts w:ascii="Aptos" w:hAnsi="Aptos"/>
                <w:sz w:val="22"/>
              </w:rPr>
            </w:pPr>
            <w:r w:rsidRPr="0002495D">
              <w:rPr>
                <w:rFonts w:ascii="Aptos" w:hAnsi="Aptos"/>
                <w:sz w:val="22"/>
              </w:rPr>
              <w:t>Will my child receive feedback?</w:t>
            </w:r>
          </w:p>
        </w:tc>
        <w:tc>
          <w:tcPr>
            <w:tcW w:w="6048" w:type="dxa"/>
          </w:tcPr>
          <w:p w14:paraId="34D62FF6" w14:textId="77777777" w:rsidR="00FE440E" w:rsidRPr="0002495D" w:rsidRDefault="008C23E3">
            <w:pPr>
              <w:spacing w:after="40"/>
              <w:rPr>
                <w:rFonts w:ascii="Aptos" w:hAnsi="Aptos"/>
                <w:sz w:val="22"/>
              </w:rPr>
            </w:pPr>
            <w:r w:rsidRPr="0002495D">
              <w:rPr>
                <w:rFonts w:ascii="Aptos" w:hAnsi="Aptos"/>
                <w:sz w:val="22"/>
              </w:rPr>
              <w:t>Yes. Feedback may be written, verbal, digital, peer-based or self-reflective. It should help the student improve.</w:t>
            </w:r>
          </w:p>
        </w:tc>
      </w:tr>
      <w:tr w:rsidR="00FE440E" w:rsidRPr="0002495D" w14:paraId="42A11C55" w14:textId="77777777">
        <w:trPr>
          <w:jc w:val="center"/>
        </w:trPr>
        <w:tc>
          <w:tcPr>
            <w:tcW w:w="3312" w:type="dxa"/>
          </w:tcPr>
          <w:p w14:paraId="0C5FB717" w14:textId="77777777" w:rsidR="00FE440E" w:rsidRPr="0002495D" w:rsidRDefault="008C23E3">
            <w:pPr>
              <w:spacing w:after="40"/>
              <w:rPr>
                <w:rFonts w:ascii="Aptos" w:hAnsi="Aptos"/>
                <w:sz w:val="22"/>
              </w:rPr>
            </w:pPr>
            <w:r w:rsidRPr="0002495D">
              <w:rPr>
                <w:rFonts w:ascii="Aptos" w:hAnsi="Aptos"/>
                <w:sz w:val="22"/>
              </w:rPr>
              <w:t>Are all assessments formal tests?</w:t>
            </w:r>
          </w:p>
        </w:tc>
        <w:tc>
          <w:tcPr>
            <w:tcW w:w="6048" w:type="dxa"/>
          </w:tcPr>
          <w:p w14:paraId="4EFFB3CA" w14:textId="77777777" w:rsidR="00FE440E" w:rsidRPr="0002495D" w:rsidRDefault="008C23E3">
            <w:pPr>
              <w:spacing w:after="40"/>
              <w:rPr>
                <w:rFonts w:ascii="Aptos" w:hAnsi="Aptos"/>
                <w:sz w:val="22"/>
              </w:rPr>
            </w:pPr>
            <w:r w:rsidRPr="0002495D">
              <w:rPr>
                <w:rFonts w:ascii="Aptos" w:hAnsi="Aptos"/>
                <w:sz w:val="22"/>
              </w:rPr>
              <w:t>No. Assessment includes diagnostic, formative, summative and reflective activities.</w:t>
            </w:r>
          </w:p>
        </w:tc>
      </w:tr>
      <w:tr w:rsidR="00FE440E" w:rsidRPr="0002495D" w14:paraId="02D127F4" w14:textId="77777777">
        <w:trPr>
          <w:jc w:val="center"/>
        </w:trPr>
        <w:tc>
          <w:tcPr>
            <w:tcW w:w="3312" w:type="dxa"/>
          </w:tcPr>
          <w:p w14:paraId="39C8BB73" w14:textId="77777777" w:rsidR="00FE440E" w:rsidRPr="0002495D" w:rsidRDefault="008C23E3">
            <w:pPr>
              <w:spacing w:after="40"/>
              <w:rPr>
                <w:rFonts w:ascii="Aptos" w:hAnsi="Aptos"/>
                <w:sz w:val="22"/>
              </w:rPr>
            </w:pPr>
            <w:r w:rsidRPr="0002495D">
              <w:rPr>
                <w:rFonts w:ascii="Aptos" w:hAnsi="Aptos"/>
                <w:sz w:val="22"/>
              </w:rPr>
              <w:t>Are Cambridge, Edexcel and IB assessed in the same way?</w:t>
            </w:r>
          </w:p>
        </w:tc>
        <w:tc>
          <w:tcPr>
            <w:tcW w:w="6048" w:type="dxa"/>
          </w:tcPr>
          <w:p w14:paraId="64CC0B0F" w14:textId="77777777" w:rsidR="00FE440E" w:rsidRPr="0002495D" w:rsidRDefault="008C23E3">
            <w:pPr>
              <w:spacing w:after="40"/>
              <w:rPr>
                <w:rFonts w:ascii="Aptos" w:hAnsi="Aptos"/>
                <w:sz w:val="22"/>
              </w:rPr>
            </w:pPr>
            <w:r w:rsidRPr="0002495D">
              <w:rPr>
                <w:rFonts w:ascii="Aptos" w:hAnsi="Aptos"/>
                <w:sz w:val="22"/>
              </w:rPr>
              <w:t>No. Each awarding body has its own rules, criteria and external assessment requirements.</w:t>
            </w:r>
          </w:p>
        </w:tc>
      </w:tr>
      <w:tr w:rsidR="00FE440E" w:rsidRPr="0002495D" w14:paraId="6D88166D" w14:textId="77777777">
        <w:trPr>
          <w:jc w:val="center"/>
        </w:trPr>
        <w:tc>
          <w:tcPr>
            <w:tcW w:w="3312" w:type="dxa"/>
          </w:tcPr>
          <w:p w14:paraId="2CF66587" w14:textId="77777777" w:rsidR="00FE440E" w:rsidRPr="0002495D" w:rsidRDefault="008C23E3">
            <w:pPr>
              <w:spacing w:after="40"/>
              <w:rPr>
                <w:rFonts w:ascii="Aptos" w:hAnsi="Aptos"/>
                <w:sz w:val="22"/>
              </w:rPr>
            </w:pPr>
            <w:r w:rsidRPr="0002495D">
              <w:rPr>
                <w:rFonts w:ascii="Aptos" w:hAnsi="Aptos"/>
                <w:sz w:val="22"/>
              </w:rPr>
              <w:t>Does the IBCP include more than examinations?</w:t>
            </w:r>
          </w:p>
        </w:tc>
        <w:tc>
          <w:tcPr>
            <w:tcW w:w="6048" w:type="dxa"/>
          </w:tcPr>
          <w:p w14:paraId="03A1B421" w14:textId="77777777" w:rsidR="00FE440E" w:rsidRPr="0002495D" w:rsidRDefault="008C23E3">
            <w:pPr>
              <w:spacing w:after="40"/>
              <w:rPr>
                <w:rFonts w:ascii="Aptos" w:hAnsi="Aptos"/>
                <w:sz w:val="22"/>
              </w:rPr>
            </w:pPr>
            <w:r w:rsidRPr="0002495D">
              <w:rPr>
                <w:rFonts w:ascii="Aptos" w:hAnsi="Aptos"/>
                <w:sz w:val="22"/>
              </w:rPr>
              <w:t>Yes. IBCP includes DP subjects, CP core components and career-related studies, each with specific requirements.</w:t>
            </w:r>
          </w:p>
        </w:tc>
      </w:tr>
      <w:tr w:rsidR="00FE440E" w:rsidRPr="0002495D" w14:paraId="5CE475DF" w14:textId="77777777">
        <w:trPr>
          <w:jc w:val="center"/>
        </w:trPr>
        <w:tc>
          <w:tcPr>
            <w:tcW w:w="3312" w:type="dxa"/>
          </w:tcPr>
          <w:p w14:paraId="18D13588" w14:textId="77777777" w:rsidR="00FE440E" w:rsidRPr="0002495D" w:rsidRDefault="008C23E3">
            <w:pPr>
              <w:spacing w:after="40"/>
              <w:rPr>
                <w:rFonts w:ascii="Aptos" w:hAnsi="Aptos"/>
                <w:sz w:val="22"/>
              </w:rPr>
            </w:pPr>
            <w:r w:rsidRPr="0002495D">
              <w:rPr>
                <w:rFonts w:ascii="Aptos" w:hAnsi="Aptos"/>
                <w:sz w:val="22"/>
              </w:rPr>
              <w:t>Can access arrangements be requested?</w:t>
            </w:r>
          </w:p>
        </w:tc>
        <w:tc>
          <w:tcPr>
            <w:tcW w:w="6048" w:type="dxa"/>
          </w:tcPr>
          <w:p w14:paraId="2CFF6578" w14:textId="41581FC0" w:rsidR="00FE440E" w:rsidRPr="0002495D" w:rsidRDefault="008C23E3">
            <w:pPr>
              <w:spacing w:after="40"/>
              <w:rPr>
                <w:rFonts w:ascii="Aptos" w:hAnsi="Aptos"/>
                <w:sz w:val="22"/>
              </w:rPr>
            </w:pPr>
            <w:r w:rsidRPr="0002495D">
              <w:rPr>
                <w:rFonts w:ascii="Aptos" w:hAnsi="Aptos"/>
                <w:sz w:val="22"/>
              </w:rPr>
              <w:t xml:space="preserve">Yes, where there is appropriate </w:t>
            </w:r>
            <w:r w:rsidR="00E91C78" w:rsidRPr="0002495D">
              <w:rPr>
                <w:rFonts w:ascii="Aptos" w:hAnsi="Aptos"/>
                <w:sz w:val="22"/>
              </w:rPr>
              <w:t>evidence,</w:t>
            </w:r>
            <w:r w:rsidRPr="0002495D">
              <w:rPr>
                <w:rFonts w:ascii="Aptos" w:hAnsi="Aptos"/>
                <w:sz w:val="22"/>
              </w:rPr>
              <w:t xml:space="preserve"> and the arrangement reflects the student’s normal way of working and awarding-body rules.</w:t>
            </w:r>
          </w:p>
        </w:tc>
      </w:tr>
      <w:tr w:rsidR="00FE440E" w:rsidRPr="0002495D" w14:paraId="584656F5" w14:textId="77777777">
        <w:trPr>
          <w:jc w:val="center"/>
        </w:trPr>
        <w:tc>
          <w:tcPr>
            <w:tcW w:w="3312" w:type="dxa"/>
          </w:tcPr>
          <w:p w14:paraId="438ADE94" w14:textId="77777777" w:rsidR="00FE440E" w:rsidRPr="0002495D" w:rsidRDefault="008C23E3">
            <w:pPr>
              <w:spacing w:after="40"/>
              <w:rPr>
                <w:rFonts w:ascii="Aptos" w:hAnsi="Aptos"/>
                <w:sz w:val="22"/>
              </w:rPr>
            </w:pPr>
            <w:r w:rsidRPr="0002495D">
              <w:rPr>
                <w:rFonts w:ascii="Aptos" w:hAnsi="Aptos"/>
                <w:sz w:val="22"/>
              </w:rPr>
              <w:t>Where are reports shared?</w:t>
            </w:r>
          </w:p>
        </w:tc>
        <w:tc>
          <w:tcPr>
            <w:tcW w:w="6048" w:type="dxa"/>
          </w:tcPr>
          <w:p w14:paraId="4189A331" w14:textId="77777777" w:rsidR="00FE440E" w:rsidRPr="0002495D" w:rsidRDefault="008C23E3">
            <w:pPr>
              <w:spacing w:after="40"/>
              <w:rPr>
                <w:rFonts w:ascii="Aptos" w:hAnsi="Aptos"/>
                <w:sz w:val="22"/>
              </w:rPr>
            </w:pPr>
            <w:r w:rsidRPr="0002495D">
              <w:rPr>
                <w:rFonts w:ascii="Aptos" w:hAnsi="Aptos"/>
                <w:sz w:val="22"/>
              </w:rPr>
              <w:t>Reports are shared through the iSAMS Parent Portal.</w:t>
            </w:r>
          </w:p>
        </w:tc>
      </w:tr>
    </w:tbl>
    <w:p w14:paraId="1D82CBC6" w14:textId="77777777" w:rsidR="00FE440E" w:rsidRPr="0002495D" w:rsidRDefault="00FE440E">
      <w:pPr>
        <w:rPr>
          <w:rFonts w:ascii="Aptos" w:hAnsi="Aptos"/>
          <w:sz w:val="22"/>
        </w:rPr>
      </w:pPr>
    </w:p>
    <w:p w14:paraId="20984F88" w14:textId="2C0D907E" w:rsidR="009F79DE" w:rsidRPr="0002495D" w:rsidRDefault="00B42BE1" w:rsidP="00B42BE1">
      <w:pPr>
        <w:rPr>
          <w:rFonts w:ascii="Aptos" w:hAnsi="Aptos"/>
          <w:sz w:val="22"/>
        </w:rPr>
      </w:pPr>
      <w:r w:rsidRPr="0002495D">
        <w:rPr>
          <w:rFonts w:ascii="Aptos" w:hAnsi="Aptos"/>
          <w:b/>
          <w:bCs/>
          <w:sz w:val="22"/>
        </w:rPr>
        <w:t>Note:</w:t>
      </w:r>
      <w:r w:rsidRPr="0002495D">
        <w:rPr>
          <w:rFonts w:ascii="Aptos" w:hAnsi="Aptos"/>
          <w:sz w:val="22"/>
        </w:rPr>
        <w:t xml:space="preserve"> This policy is reviewed annually to ensure it remains accurate, relevant and aligned with school practice, </w:t>
      </w:r>
      <w:r w:rsidR="0002495D" w:rsidRPr="0002495D">
        <w:rPr>
          <w:rFonts w:ascii="Aptos" w:hAnsi="Aptos"/>
          <w:sz w:val="22"/>
        </w:rPr>
        <w:t>awarding</w:t>
      </w:r>
      <w:r w:rsidR="007F00C9">
        <w:rPr>
          <w:rFonts w:ascii="Aptos" w:hAnsi="Aptos"/>
          <w:sz w:val="22"/>
        </w:rPr>
        <w:t>-</w:t>
      </w:r>
      <w:r w:rsidR="0002495D" w:rsidRPr="0002495D">
        <w:rPr>
          <w:rFonts w:ascii="Aptos" w:hAnsi="Aptos"/>
          <w:sz w:val="22"/>
        </w:rPr>
        <w:t>body</w:t>
      </w:r>
      <w:r w:rsidRPr="0002495D">
        <w:rPr>
          <w:rFonts w:ascii="Aptos" w:hAnsi="Aptos"/>
          <w:sz w:val="22"/>
        </w:rPr>
        <w:t xml:space="preserve"> requirements and any IB programme developments.</w:t>
      </w:r>
    </w:p>
    <w:p w14:paraId="3DD02B72" w14:textId="2E63794C" w:rsidR="00FE440E" w:rsidRPr="0002495D" w:rsidRDefault="00FE440E">
      <w:pPr>
        <w:rPr>
          <w:rFonts w:ascii="Aptos" w:hAnsi="Aptos"/>
          <w:sz w:val="22"/>
        </w:rPr>
      </w:pPr>
    </w:p>
    <w:p w14:paraId="53F21BEC" w14:textId="08CAE7B4" w:rsidR="000979EB" w:rsidRPr="0002495D" w:rsidRDefault="00E91C78">
      <w:pPr>
        <w:rPr>
          <w:rFonts w:ascii="Aptos" w:hAnsi="Aptos"/>
          <w:sz w:val="22"/>
        </w:rPr>
      </w:pPr>
      <w:r w:rsidRPr="0002495D">
        <w:rPr>
          <w:rFonts w:ascii="Aptos" w:hAnsi="Aptos"/>
          <w:noProof/>
        </w:rPr>
        <w:drawing>
          <wp:inline distT="0" distB="0" distL="0" distR="0" wp14:anchorId="6B279983" wp14:editId="69392E79">
            <wp:extent cx="5486400" cy="668020"/>
            <wp:effectExtent l="0" t="0" r="0" b="5080"/>
            <wp:docPr id="5002020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0202026" name=""/>
                    <pic:cNvPicPr/>
                  </pic:nvPicPr>
                  <pic:blipFill>
                    <a:blip r:embed="rId7"/>
                    <a:stretch>
                      <a:fillRect/>
                    </a:stretch>
                  </pic:blipFill>
                  <pic:spPr>
                    <a:xfrm>
                      <a:off x="0" y="0"/>
                      <a:ext cx="5486400" cy="668020"/>
                    </a:xfrm>
                    <a:prstGeom prst="rect">
                      <a:avLst/>
                    </a:prstGeom>
                  </pic:spPr>
                </pic:pic>
              </a:graphicData>
            </a:graphic>
          </wp:inline>
        </w:drawing>
      </w:r>
    </w:p>
    <w:sectPr w:rsidR="000979EB" w:rsidRPr="0002495D" w:rsidSect="00034616">
      <w:pgSz w:w="12240" w:h="15840"/>
      <w:pgMar w:top="936" w:right="1080" w:bottom="936"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DA2696A6"/>
    <w:lvl w:ilvl="0">
      <w:start w:val="1"/>
      <w:numFmt w:val="bullet"/>
      <w:pStyle w:val="ListBullet"/>
      <w:lvlText w:val=""/>
      <w:lvlJc w:val="left"/>
      <w:pPr>
        <w:tabs>
          <w:tab w:val="num" w:pos="360"/>
        </w:tabs>
        <w:ind w:left="360" w:hanging="360"/>
      </w:pPr>
      <w:rPr>
        <w:rFonts w:ascii="Symbol" w:hAnsi="Symbol" w:hint="default"/>
      </w:rPr>
    </w:lvl>
  </w:abstractNum>
  <w:num w:numId="1" w16cid:durableId="918708382">
    <w:abstractNumId w:val="8"/>
  </w:num>
  <w:num w:numId="2" w16cid:durableId="287513978">
    <w:abstractNumId w:val="6"/>
  </w:num>
  <w:num w:numId="3" w16cid:durableId="1527718289">
    <w:abstractNumId w:val="5"/>
  </w:num>
  <w:num w:numId="4" w16cid:durableId="966546488">
    <w:abstractNumId w:val="4"/>
  </w:num>
  <w:num w:numId="5" w16cid:durableId="1338578690">
    <w:abstractNumId w:val="7"/>
  </w:num>
  <w:num w:numId="6" w16cid:durableId="1336376030">
    <w:abstractNumId w:val="3"/>
  </w:num>
  <w:num w:numId="7" w16cid:durableId="2095934842">
    <w:abstractNumId w:val="2"/>
  </w:num>
  <w:num w:numId="8" w16cid:durableId="1135758402">
    <w:abstractNumId w:val="1"/>
  </w:num>
  <w:num w:numId="9" w16cid:durableId="20906894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2495D"/>
    <w:rsid w:val="00034616"/>
    <w:rsid w:val="000414FF"/>
    <w:rsid w:val="0006063C"/>
    <w:rsid w:val="000979EB"/>
    <w:rsid w:val="000B3BE2"/>
    <w:rsid w:val="0015074B"/>
    <w:rsid w:val="001A0497"/>
    <w:rsid w:val="00281111"/>
    <w:rsid w:val="0029639D"/>
    <w:rsid w:val="00296FFE"/>
    <w:rsid w:val="002D3910"/>
    <w:rsid w:val="002E72F8"/>
    <w:rsid w:val="00326F90"/>
    <w:rsid w:val="0037138C"/>
    <w:rsid w:val="004023C0"/>
    <w:rsid w:val="005B5971"/>
    <w:rsid w:val="00686A2A"/>
    <w:rsid w:val="006D7D5B"/>
    <w:rsid w:val="007A597B"/>
    <w:rsid w:val="007F00C9"/>
    <w:rsid w:val="0081707E"/>
    <w:rsid w:val="00847EE5"/>
    <w:rsid w:val="008A7FD1"/>
    <w:rsid w:val="008C23E3"/>
    <w:rsid w:val="009F79DE"/>
    <w:rsid w:val="00A675F8"/>
    <w:rsid w:val="00AA1D8D"/>
    <w:rsid w:val="00B42BE1"/>
    <w:rsid w:val="00B47730"/>
    <w:rsid w:val="00B865F9"/>
    <w:rsid w:val="00C24BD1"/>
    <w:rsid w:val="00CA1CC5"/>
    <w:rsid w:val="00CB0664"/>
    <w:rsid w:val="00D1126F"/>
    <w:rsid w:val="00E33D6D"/>
    <w:rsid w:val="00E91C78"/>
    <w:rsid w:val="00EB1438"/>
    <w:rsid w:val="00FC693F"/>
    <w:rsid w:val="00FE440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5CE3BAF"/>
  <w14:defaultImageDpi w14:val="300"/>
  <w15:docId w15:val="{B99D49D3-C8D8-E345-9940-E41C45D36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Arial" w:eastAsia="Arial" w:hAnsi="Arial"/>
      <w:sz w:val="20"/>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1F4E79"/>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2F5496"/>
      <w:sz w:val="24"/>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sz w:val="22"/>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b/>
      <w:color w:val="17365D" w:themeColor="text2" w:themeShade="BF"/>
      <w:spacing w:val="5"/>
      <w:kern w:val="28"/>
      <w:sz w:val="40"/>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CommentReference">
    <w:name w:val="annotation reference"/>
    <w:basedOn w:val="DefaultParagraphFont"/>
    <w:uiPriority w:val="99"/>
    <w:semiHidden/>
    <w:unhideWhenUsed/>
    <w:rsid w:val="009F79DE"/>
    <w:rPr>
      <w:sz w:val="16"/>
      <w:szCs w:val="16"/>
    </w:rPr>
  </w:style>
  <w:style w:type="paragraph" w:styleId="CommentText">
    <w:name w:val="annotation text"/>
    <w:basedOn w:val="Normal"/>
    <w:link w:val="CommentTextChar"/>
    <w:uiPriority w:val="99"/>
    <w:unhideWhenUsed/>
    <w:rsid w:val="009F79DE"/>
    <w:pPr>
      <w:spacing w:line="240" w:lineRule="auto"/>
    </w:pPr>
    <w:rPr>
      <w:szCs w:val="20"/>
    </w:rPr>
  </w:style>
  <w:style w:type="character" w:customStyle="1" w:styleId="CommentTextChar">
    <w:name w:val="Comment Text Char"/>
    <w:basedOn w:val="DefaultParagraphFont"/>
    <w:link w:val="CommentText"/>
    <w:uiPriority w:val="99"/>
    <w:rsid w:val="009F79DE"/>
    <w:rPr>
      <w:rFonts w:ascii="Arial" w:eastAsia="Arial" w:hAnsi="Arial"/>
      <w:sz w:val="20"/>
      <w:szCs w:val="20"/>
    </w:rPr>
  </w:style>
  <w:style w:type="paragraph" w:styleId="CommentSubject">
    <w:name w:val="annotation subject"/>
    <w:basedOn w:val="CommentText"/>
    <w:next w:val="CommentText"/>
    <w:link w:val="CommentSubjectChar"/>
    <w:uiPriority w:val="99"/>
    <w:semiHidden/>
    <w:unhideWhenUsed/>
    <w:rsid w:val="009F79DE"/>
    <w:rPr>
      <w:b/>
      <w:bCs/>
    </w:rPr>
  </w:style>
  <w:style w:type="character" w:customStyle="1" w:styleId="CommentSubjectChar">
    <w:name w:val="Comment Subject Char"/>
    <w:basedOn w:val="CommentTextChar"/>
    <w:link w:val="CommentSubject"/>
    <w:uiPriority w:val="99"/>
    <w:semiHidden/>
    <w:rsid w:val="009F79DE"/>
    <w:rPr>
      <w:rFonts w:ascii="Arial" w:eastAsia="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2720</Words>
  <Characters>15510</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18194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RGSR Assessment and Feedback Policy - Parent-Facing Version</dc:title>
  <dc:subject>Parent-facing assessment and feedback policy including IBCP, Cambridge and Pearson Edexcel information</dc:subject>
  <dc:creator>RGSR</dc:creator>
  <cp:keywords/>
  <dc:description>generated by python-docx</dc:description>
  <cp:lastModifiedBy>Ann Philip</cp:lastModifiedBy>
  <cp:revision>4</cp:revision>
  <dcterms:created xsi:type="dcterms:W3CDTF">2026-05-31T10:09:00Z</dcterms:created>
  <dcterms:modified xsi:type="dcterms:W3CDTF">2026-05-31T10:26:00Z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1019b0a5-5866-4bd7-bb74-09d910acd7fd</vt:lpwstr>
  </property>
</Properties>
</file>